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F6CF6" w14:textId="77777777" w:rsidR="00D5544B" w:rsidRDefault="00D5544B" w:rsidP="00601AC2">
      <w:pPr>
        <w:jc w:val="center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  <w:r>
        <w:rPr>
          <w:rFonts w:ascii="Arial Narrow" w:hAnsi="Arial Narrow" w:cs="Tahoma"/>
          <w:b/>
          <w:color w:val="000000"/>
          <w:sz w:val="20"/>
          <w:szCs w:val="20"/>
          <w:lang w:val="es-ES"/>
        </w:rPr>
        <w:t>ANEXO No. 7.1</w:t>
      </w:r>
    </w:p>
    <w:p w14:paraId="51CBFFB0" w14:textId="77777777" w:rsidR="008A5F23" w:rsidRDefault="008A5F23" w:rsidP="00601AC2">
      <w:pPr>
        <w:jc w:val="center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</w:p>
    <w:p w14:paraId="612E8C5F" w14:textId="77777777" w:rsidR="008A5F23" w:rsidRPr="008A5F23" w:rsidRDefault="008A5F23" w:rsidP="008A5F23">
      <w:pPr>
        <w:jc w:val="center"/>
        <w:rPr>
          <w:rFonts w:ascii="Arial Narrow" w:hAnsi="Arial Narrow" w:cs="Tahoma"/>
          <w:b/>
          <w:color w:val="000000"/>
          <w:sz w:val="22"/>
          <w:szCs w:val="20"/>
          <w:lang w:val="es-ES"/>
        </w:rPr>
      </w:pPr>
      <w:r w:rsidRPr="008A5F23">
        <w:rPr>
          <w:rFonts w:ascii="Arial Narrow" w:hAnsi="Arial Narrow" w:cs="Tahoma"/>
          <w:b/>
          <w:color w:val="000000"/>
          <w:sz w:val="22"/>
          <w:szCs w:val="20"/>
          <w:lang w:val="es-ES"/>
        </w:rPr>
        <w:t xml:space="preserve">PROCEDIMIENTO DE CONTRATACIÓN Y ADQUISICIÓN PARA LA FASE A DEL COMPONENTE 2 RECUPERACIÓN INMEDIATA </w:t>
      </w:r>
    </w:p>
    <w:p w14:paraId="7FC26F23" w14:textId="77777777" w:rsidR="008A5F23" w:rsidRPr="008A5F23" w:rsidRDefault="008A5F23" w:rsidP="00601AC2">
      <w:pPr>
        <w:jc w:val="center"/>
        <w:rPr>
          <w:rFonts w:ascii="Arial Narrow" w:hAnsi="Arial Narrow" w:cs="Tahoma"/>
          <w:b/>
          <w:color w:val="000000"/>
          <w:sz w:val="20"/>
          <w:szCs w:val="20"/>
        </w:rPr>
      </w:pPr>
    </w:p>
    <w:p w14:paraId="4E93F36E" w14:textId="77777777" w:rsidR="00D5544B" w:rsidRDefault="00D5544B" w:rsidP="00601AC2">
      <w:pPr>
        <w:jc w:val="center"/>
        <w:rPr>
          <w:rFonts w:ascii="Arial Narrow" w:hAnsi="Arial Narrow" w:cs="Tahoma"/>
          <w:b/>
          <w:color w:val="000000"/>
          <w:sz w:val="20"/>
          <w:szCs w:val="20"/>
          <w:lang w:val="es-ES"/>
        </w:rPr>
      </w:pPr>
    </w:p>
    <w:p w14:paraId="1CEEA98A" w14:textId="19A20627" w:rsidR="00601AC2" w:rsidRDefault="008A5F23" w:rsidP="00601AC2">
      <w:pPr>
        <w:jc w:val="center"/>
      </w:pPr>
      <w:r>
        <w:rPr>
          <w:rFonts w:ascii="Arial Narrow" w:hAnsi="Arial Narrow" w:cs="Tahoma"/>
          <w:b/>
          <w:color w:val="000000"/>
          <w:sz w:val="20"/>
          <w:szCs w:val="20"/>
          <w:lang w:val="es-ES"/>
        </w:rPr>
        <w:t>PROCEDIMIENTO</w:t>
      </w:r>
      <w:r w:rsidR="00601AC2">
        <w:rPr>
          <w:rFonts w:ascii="Arial Narrow" w:hAnsi="Arial Narrow" w:cs="Tahoma"/>
          <w:b/>
          <w:color w:val="000000"/>
          <w:sz w:val="20"/>
          <w:szCs w:val="20"/>
          <w:lang w:val="es-ES"/>
        </w:rPr>
        <w:t xml:space="preserve"> OPERATIVO PARA </w:t>
      </w:r>
      <w:r w:rsidR="00601AC2" w:rsidRPr="008B0C34">
        <w:rPr>
          <w:rFonts w:ascii="Arial Narrow" w:hAnsi="Arial Narrow" w:cs="Tahoma"/>
          <w:b/>
          <w:color w:val="000000"/>
          <w:sz w:val="20"/>
          <w:szCs w:val="20"/>
          <w:lang w:val="es-ES"/>
        </w:rPr>
        <w:t>ADQUISICIÓN INMEDIATA</w:t>
      </w:r>
      <w:r w:rsidR="00601AC2">
        <w:rPr>
          <w:rFonts w:ascii="Arial Narrow" w:hAnsi="Arial Narrow" w:cs="Tahoma"/>
          <w:b/>
          <w:color w:val="000000"/>
          <w:sz w:val="20"/>
          <w:szCs w:val="20"/>
          <w:lang w:val="es-ES"/>
        </w:rPr>
        <w:t xml:space="preserve"> </w:t>
      </w:r>
      <w:r w:rsidR="00601AC2" w:rsidRPr="008B0C34">
        <w:rPr>
          <w:rFonts w:ascii="Arial Narrow" w:hAnsi="Arial Narrow" w:cs="Tahoma"/>
          <w:b/>
          <w:color w:val="000000"/>
          <w:sz w:val="20"/>
          <w:szCs w:val="20"/>
          <w:lang w:val="es-ES"/>
        </w:rPr>
        <w:t>DE</w:t>
      </w:r>
      <w:r w:rsidR="00601AC2">
        <w:rPr>
          <w:rFonts w:ascii="Arial Narrow" w:hAnsi="Arial Narrow" w:cs="Tahoma"/>
          <w:b/>
          <w:color w:val="000000"/>
          <w:sz w:val="20"/>
          <w:szCs w:val="20"/>
          <w:lang w:val="es-ES"/>
        </w:rPr>
        <w:t xml:space="preserve"> BIENES, OBRAS</w:t>
      </w:r>
      <w:r w:rsidR="00601AC2" w:rsidRPr="008B0C34">
        <w:rPr>
          <w:rFonts w:ascii="Arial Narrow" w:hAnsi="Arial Narrow" w:cs="Tahoma"/>
          <w:b/>
          <w:color w:val="000000"/>
          <w:sz w:val="20"/>
          <w:szCs w:val="20"/>
          <w:lang w:val="es-ES"/>
        </w:rPr>
        <w:t xml:space="preserve"> </w:t>
      </w:r>
      <w:r w:rsidR="00601AC2">
        <w:rPr>
          <w:rFonts w:ascii="Arial Narrow" w:hAnsi="Arial Narrow" w:cs="Tahoma"/>
          <w:b/>
          <w:color w:val="000000"/>
          <w:sz w:val="20"/>
          <w:szCs w:val="20"/>
          <w:lang w:val="es-ES"/>
        </w:rPr>
        <w:t xml:space="preserve">Y SERVICIOS EN CASO DE CATASTROFE NATURAL FINANCIADOS POR EL BANCO MUNDIAL 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340"/>
        <w:gridCol w:w="2520"/>
        <w:gridCol w:w="2260"/>
      </w:tblGrid>
      <w:tr w:rsidR="00546287" w:rsidRPr="008B0C34" w14:paraId="15ADD8A1" w14:textId="77777777" w:rsidTr="00A62C92"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AEAE02A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napToGrid w:val="0"/>
                <w:sz w:val="20"/>
                <w:szCs w:val="20"/>
              </w:rPr>
            </w:pPr>
          </w:p>
          <w:p w14:paraId="6FA6543E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napToGrid w:val="0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bCs/>
                <w:iCs/>
                <w:snapToGrid w:val="0"/>
                <w:sz w:val="20"/>
                <w:szCs w:val="20"/>
              </w:rPr>
              <w:t>Procedimiento:</w:t>
            </w: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AFAB613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/>
                <w:color w:val="000000"/>
                <w:sz w:val="20"/>
                <w:szCs w:val="20"/>
                <w:lang w:val="es-ES"/>
              </w:rPr>
            </w:pPr>
          </w:p>
          <w:p w14:paraId="5F27D1F0" w14:textId="23151441" w:rsidR="00546287" w:rsidRPr="008B0C34" w:rsidRDefault="00546287" w:rsidP="00F44DD9">
            <w:pPr>
              <w:jc w:val="both"/>
              <w:rPr>
                <w:rFonts w:ascii="Arial Narrow" w:hAnsi="Arial Narrow" w:cs="Verdana"/>
                <w:color w:val="000000"/>
                <w:sz w:val="20"/>
                <w:szCs w:val="20"/>
                <w:lang w:val="es-ES"/>
              </w:rPr>
            </w:pPr>
          </w:p>
        </w:tc>
      </w:tr>
      <w:tr w:rsidR="00546287" w:rsidRPr="008B0C34" w14:paraId="6187B06C" w14:textId="77777777" w:rsidTr="00A62C92"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95C564E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z w:val="20"/>
                <w:szCs w:val="20"/>
              </w:rPr>
            </w:pPr>
          </w:p>
          <w:p w14:paraId="7667C28D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bCs/>
                <w:iCs/>
                <w:sz w:val="20"/>
                <w:szCs w:val="20"/>
              </w:rPr>
              <w:t>Introducción:</w:t>
            </w:r>
          </w:p>
          <w:p w14:paraId="059FA1B9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</w:tcPr>
          <w:p w14:paraId="580BEB7B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5C55AD24" w14:textId="2540D416" w:rsidR="00546287" w:rsidRDefault="00546287" w:rsidP="00727158">
            <w:pPr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La adquisición de bienes</w:t>
            </w:r>
            <w:r w:rsidR="00AF6A5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, obras </w:t>
            </w:r>
            <w:r w:rsidR="00727158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y servicios en caso de catástrofe</w:t>
            </w:r>
            <w:r w:rsidR="00AF6A5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="00727158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natural</w:t>
            </w:r>
            <w:r w:rsidR="003C6513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,</w:t>
            </w:r>
            <w:r w:rsidR="00727158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="00AF6A5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es una de las actividades indispensables para la mitigación de los daños causados</w:t>
            </w:r>
            <w:r w:rsidR="00727158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en caso de desastres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. Del régimen de adquisiciones d</w:t>
            </w:r>
            <w:bookmarkStart w:id="0" w:name="_GoBack"/>
            <w:bookmarkEnd w:id="0"/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epende en buena parte </w:t>
            </w:r>
            <w:r w:rsidR="00AF6A5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la rapidez en la reacción frente al evento catastrófico. </w:t>
            </w:r>
          </w:p>
          <w:p w14:paraId="5DE027A7" w14:textId="77777777" w:rsidR="00727158" w:rsidRPr="008B0C34" w:rsidRDefault="00727158" w:rsidP="00727158">
            <w:pPr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7B5E08E2" w14:textId="1B1ABCD1" w:rsidR="00AF6A59" w:rsidRPr="008B0C34" w:rsidRDefault="00546287" w:rsidP="005902B7">
            <w:pPr>
              <w:pStyle w:val="Textoindependiente"/>
              <w:jc w:val="both"/>
              <w:rPr>
                <w:rFonts w:ascii="Arial Narrow" w:hAnsi="Arial Narrow" w:cs="Tahoma"/>
                <w:sz w:val="20"/>
                <w:szCs w:val="20"/>
                <w:lang w:val="es-ES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  <w:lang w:val="es-ES_tradnl"/>
              </w:rPr>
              <w:t>L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>os procesos contractuales que se realicen con fondos provenientes de préstam</w:t>
            </w:r>
            <w:r w:rsidR="00727158">
              <w:rPr>
                <w:rFonts w:ascii="Arial Narrow" w:hAnsi="Arial Narrow" w:cs="Tahoma"/>
                <w:sz w:val="20"/>
                <w:szCs w:val="20"/>
                <w:lang w:val="es-ES"/>
              </w:rPr>
              <w:t>os concesionados por el Banco Mundial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deberán tomar en cuenta las políticas del Banco</w:t>
            </w:r>
            <w:r w:rsidR="00A62C92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Mundial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</w:t>
            </w:r>
            <w:r w:rsidR="00727158">
              <w:rPr>
                <w:rFonts w:ascii="Arial Narrow" w:hAnsi="Arial Narrow" w:cs="Tahoma"/>
                <w:sz w:val="20"/>
                <w:szCs w:val="20"/>
                <w:lang w:val="es-ES"/>
              </w:rPr>
              <w:t>(</w:t>
            </w:r>
            <w:r w:rsidR="005902B7" w:rsidRPr="00A86B09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Normas Adquisiciones de Bienes, Obras y Servicios Distintos a los de Consultoría con préstamos del BIRF Créditos de la AIF &amp; Donaciones por Prestatarios del Banco Mundial de enero de </w:t>
            </w:r>
            <w:r w:rsidR="005902B7" w:rsidRPr="005902B7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2011, revisada a julio de 2014; </w:t>
            </w:r>
            <w:r w:rsidR="005902B7" w:rsidRPr="00A86B09">
              <w:rPr>
                <w:rFonts w:ascii="Arial Narrow" w:hAnsi="Arial Narrow" w:cs="Tahoma"/>
                <w:sz w:val="20"/>
                <w:szCs w:val="20"/>
                <w:lang w:val="es-ES"/>
              </w:rPr>
              <w:t>y Normas Selección y Contratación de Consultores con préstamos del BIRF Créditos de la AIF &amp; Donaciones por Prestatarios del Banco Mundial de enero de 2011, revisada a julio de 2014</w:t>
            </w:r>
            <w:r w:rsidR="005902B7" w:rsidRPr="00141B0F">
              <w:rPr>
                <w:rFonts w:cs="Calibri"/>
                <w:spacing w:val="-2"/>
                <w:lang w:bidi="en-US"/>
              </w:rPr>
              <w:t xml:space="preserve">  </w:t>
            </w:r>
            <w:r w:rsidR="009936E9">
              <w:rPr>
                <w:rFonts w:ascii="Arial Narrow" w:hAnsi="Arial Narrow" w:cs="Tahoma"/>
                <w:sz w:val="20"/>
                <w:szCs w:val="20"/>
                <w:lang w:val="es-ES"/>
              </w:rPr>
              <w:t>).</w:t>
            </w:r>
            <w:r w:rsidR="00727158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</w:t>
            </w:r>
          </w:p>
        </w:tc>
      </w:tr>
      <w:tr w:rsidR="00546287" w:rsidRPr="008B0C34" w14:paraId="66B059E7" w14:textId="77777777" w:rsidTr="00A62C92"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8815D9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z w:val="20"/>
                <w:szCs w:val="20"/>
              </w:rPr>
            </w:pPr>
          </w:p>
          <w:p w14:paraId="58BAEDE9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bCs/>
                <w:iCs/>
                <w:sz w:val="20"/>
                <w:szCs w:val="20"/>
              </w:rPr>
              <w:t>Justificativo:</w:t>
            </w:r>
          </w:p>
        </w:tc>
        <w:tc>
          <w:tcPr>
            <w:tcW w:w="71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645F9CF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</w:p>
          <w:p w14:paraId="158D3ED6" w14:textId="6BCA6CE6" w:rsidR="00546287" w:rsidRPr="008B0C34" w:rsidRDefault="00546287" w:rsidP="00F339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Es necesario establecer un procedimiento </w:t>
            </w:r>
            <w:r w:rsidR="00727158">
              <w:rPr>
                <w:rFonts w:ascii="Arial Narrow" w:hAnsi="Arial Narrow" w:cs="Tahoma"/>
                <w:bCs/>
                <w:sz w:val="20"/>
                <w:szCs w:val="20"/>
              </w:rPr>
              <w:t xml:space="preserve">para realizar 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adquisiciones </w:t>
            </w:r>
            <w:r w:rsidR="00727158">
              <w:rPr>
                <w:rFonts w:ascii="Arial Narrow" w:hAnsi="Arial Narrow" w:cs="Tahoma"/>
                <w:bCs/>
                <w:sz w:val="20"/>
                <w:szCs w:val="20"/>
              </w:rPr>
              <w:t>inmediatas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 de bienes</w:t>
            </w:r>
            <w:r w:rsidR="00AF6A59">
              <w:rPr>
                <w:rFonts w:ascii="Arial Narrow" w:hAnsi="Arial Narrow" w:cs="Tahoma"/>
                <w:bCs/>
                <w:sz w:val="20"/>
                <w:szCs w:val="20"/>
              </w:rPr>
              <w:t xml:space="preserve">, obras </w:t>
            </w:r>
            <w:r w:rsidR="00727158">
              <w:rPr>
                <w:rFonts w:ascii="Arial Narrow" w:hAnsi="Arial Narrow" w:cs="Tahoma"/>
                <w:bCs/>
                <w:sz w:val="20"/>
                <w:szCs w:val="20"/>
              </w:rPr>
              <w:t>y servicios en caso de catástrofe natural</w:t>
            </w:r>
            <w:r w:rsidR="009936E9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="00F33992">
              <w:rPr>
                <w:rFonts w:ascii="Arial Narrow" w:hAnsi="Arial Narrow" w:cs="Tahoma"/>
                <w:bCs/>
                <w:sz w:val="20"/>
                <w:szCs w:val="20"/>
              </w:rPr>
              <w:t>de acuerdo al presupuesto establecido para este fin</w:t>
            </w:r>
            <w:r w:rsidR="006709A0">
              <w:rPr>
                <w:rFonts w:ascii="Arial Narrow" w:hAnsi="Arial Narrow" w:cs="Tahoma"/>
                <w:bCs/>
                <w:sz w:val="20"/>
                <w:szCs w:val="20"/>
              </w:rPr>
              <w:t>, que serán financiados por el Banco Mundial.</w:t>
            </w:r>
          </w:p>
        </w:tc>
      </w:tr>
      <w:tr w:rsidR="00546287" w:rsidRPr="008B0C34" w14:paraId="2C29F183" w14:textId="77777777" w:rsidTr="00A62C92">
        <w:trPr>
          <w:cantSplit/>
          <w:trHeight w:val="615"/>
        </w:trPr>
        <w:tc>
          <w:tcPr>
            <w:tcW w:w="2050" w:type="dxa"/>
            <w:tcBorders>
              <w:bottom w:val="single" w:sz="4" w:space="0" w:color="auto"/>
            </w:tcBorders>
            <w:shd w:val="clear" w:color="auto" w:fill="F3F3F3"/>
          </w:tcPr>
          <w:p w14:paraId="1675DBAC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4279066A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sz w:val="20"/>
                <w:szCs w:val="20"/>
              </w:rPr>
              <w:t>Objetivo General:</w:t>
            </w:r>
          </w:p>
        </w:tc>
        <w:tc>
          <w:tcPr>
            <w:tcW w:w="7120" w:type="dxa"/>
            <w:gridSpan w:val="3"/>
            <w:tcBorders>
              <w:bottom w:val="single" w:sz="4" w:space="0" w:color="auto"/>
            </w:tcBorders>
          </w:tcPr>
          <w:p w14:paraId="37F7DB70" w14:textId="77777777" w:rsidR="00546287" w:rsidRPr="008B0C34" w:rsidRDefault="00546287" w:rsidP="00A62C9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3AAA23BE" w14:textId="77777777" w:rsidR="00546287" w:rsidRPr="008B0C34" w:rsidRDefault="00546287" w:rsidP="00727158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</w:rPr>
              <w:t xml:space="preserve">Determinar las actividades necesarias para realizar el proceso de adquisición </w:t>
            </w:r>
            <w:r w:rsidR="00727158">
              <w:rPr>
                <w:rFonts w:ascii="Arial Narrow" w:hAnsi="Arial Narrow" w:cs="Tahoma"/>
                <w:sz w:val="20"/>
                <w:szCs w:val="20"/>
              </w:rPr>
              <w:t xml:space="preserve">inmediata </w:t>
            </w:r>
            <w:r w:rsidRPr="008B0C34">
              <w:rPr>
                <w:rFonts w:ascii="Arial Narrow" w:hAnsi="Arial Narrow" w:cs="Tahoma"/>
                <w:sz w:val="20"/>
                <w:szCs w:val="20"/>
              </w:rPr>
              <w:t>de bienes</w:t>
            </w:r>
            <w:r w:rsidR="006709A0">
              <w:rPr>
                <w:rFonts w:ascii="Arial Narrow" w:hAnsi="Arial Narrow" w:cs="Tahoma"/>
                <w:sz w:val="20"/>
                <w:szCs w:val="20"/>
              </w:rPr>
              <w:t xml:space="preserve">, obras </w:t>
            </w:r>
            <w:r w:rsidR="00727158">
              <w:rPr>
                <w:rFonts w:ascii="Arial Narrow" w:hAnsi="Arial Narrow" w:cs="Tahoma"/>
                <w:sz w:val="20"/>
                <w:szCs w:val="20"/>
              </w:rPr>
              <w:t xml:space="preserve">y servicios en caso de catástrofe natural, </w:t>
            </w:r>
            <w:r w:rsidR="006709A0">
              <w:rPr>
                <w:rFonts w:ascii="Arial Narrow" w:hAnsi="Arial Narrow" w:cs="Tahoma"/>
                <w:sz w:val="20"/>
                <w:szCs w:val="20"/>
              </w:rPr>
              <w:t xml:space="preserve">con el fin de reaccionar de manera ágil y rápida </w:t>
            </w:r>
            <w:r w:rsidR="00727158">
              <w:rPr>
                <w:rFonts w:ascii="Arial Narrow" w:hAnsi="Arial Narrow" w:cs="Tahoma"/>
                <w:sz w:val="20"/>
                <w:szCs w:val="20"/>
              </w:rPr>
              <w:t>ante la emergencia y mitigar sus</w:t>
            </w:r>
            <w:r w:rsidR="006709A0">
              <w:rPr>
                <w:rFonts w:ascii="Arial Narrow" w:hAnsi="Arial Narrow" w:cs="Tahoma"/>
                <w:sz w:val="20"/>
                <w:szCs w:val="20"/>
              </w:rPr>
              <w:t xml:space="preserve"> efectos. </w:t>
            </w:r>
          </w:p>
        </w:tc>
      </w:tr>
      <w:tr w:rsidR="00546287" w:rsidRPr="008B0C34" w14:paraId="06E87203" w14:textId="77777777" w:rsidTr="00A62C92">
        <w:trPr>
          <w:cantSplit/>
          <w:trHeight w:val="255"/>
        </w:trPr>
        <w:tc>
          <w:tcPr>
            <w:tcW w:w="2050" w:type="dxa"/>
            <w:vMerge w:val="restart"/>
            <w:shd w:val="clear" w:color="auto" w:fill="F3F3F3"/>
          </w:tcPr>
          <w:p w14:paraId="6022FEFC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sz w:val="20"/>
                <w:szCs w:val="20"/>
              </w:rPr>
              <w:t>Objetivos Específicos: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14:paraId="399D05EE" w14:textId="77777777" w:rsidR="00546287" w:rsidRPr="00227301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27301">
              <w:rPr>
                <w:rFonts w:ascii="Arial Narrow" w:hAnsi="Arial Narrow" w:cs="Tahoma"/>
                <w:b/>
                <w:sz w:val="20"/>
                <w:szCs w:val="20"/>
              </w:rPr>
              <w:t>Objetivo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6E6E6"/>
          </w:tcPr>
          <w:p w14:paraId="57F94304" w14:textId="77777777" w:rsidR="00546287" w:rsidRPr="00227301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27301">
              <w:rPr>
                <w:rFonts w:ascii="Arial Narrow" w:hAnsi="Arial Narrow" w:cs="Tahoma"/>
                <w:b/>
                <w:sz w:val="20"/>
                <w:szCs w:val="20"/>
              </w:rPr>
              <w:t>Situación Actual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E6E6E6"/>
          </w:tcPr>
          <w:p w14:paraId="108CDC34" w14:textId="77777777" w:rsidR="00546287" w:rsidRPr="00227301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227301">
              <w:rPr>
                <w:rFonts w:ascii="Arial Narrow" w:hAnsi="Arial Narrow" w:cs="Tahoma"/>
                <w:b/>
                <w:sz w:val="20"/>
                <w:szCs w:val="20"/>
              </w:rPr>
              <w:t>Producto/Resultado</w:t>
            </w:r>
          </w:p>
        </w:tc>
      </w:tr>
      <w:tr w:rsidR="00546287" w:rsidRPr="008B0C34" w14:paraId="734BDE4C" w14:textId="77777777" w:rsidTr="00E028A6">
        <w:trPr>
          <w:cantSplit/>
          <w:trHeight w:val="1104"/>
        </w:trPr>
        <w:tc>
          <w:tcPr>
            <w:tcW w:w="2050" w:type="dxa"/>
            <w:vMerge/>
            <w:shd w:val="clear" w:color="auto" w:fill="F3F3F3"/>
          </w:tcPr>
          <w:p w14:paraId="1E6A9CA2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07A786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</w:rPr>
              <w:t>Definir las instancias de la Empresa que se involucran en el proceso de</w:t>
            </w:r>
            <w:r w:rsidR="00436076">
              <w:rPr>
                <w:rFonts w:ascii="Arial Narrow" w:hAnsi="Arial Narrow" w:cs="Tahoma"/>
                <w:sz w:val="20"/>
                <w:szCs w:val="20"/>
              </w:rPr>
              <w:t xml:space="preserve"> contratación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FB2B41E" w14:textId="77777777" w:rsidR="00546287" w:rsidRPr="008B0C34" w:rsidRDefault="00546287" w:rsidP="00A62C92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</w:rPr>
              <w:t>No existe una guía.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5B4C73A" w14:textId="77777777" w:rsidR="00546287" w:rsidRPr="008B0C34" w:rsidRDefault="00727158" w:rsidP="00436076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Manual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</w:rPr>
              <w:t xml:space="preserve"> para la Adquisición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inmediata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</w:rPr>
              <w:t xml:space="preserve"> de </w:t>
            </w:r>
            <w:r w:rsidR="00436076">
              <w:rPr>
                <w:rFonts w:ascii="Arial Narrow" w:hAnsi="Arial Narrow" w:cs="Tahoma"/>
                <w:sz w:val="20"/>
                <w:szCs w:val="20"/>
              </w:rPr>
              <w:t xml:space="preserve">Obras, 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</w:rPr>
              <w:t xml:space="preserve">Bienes </w:t>
            </w:r>
            <w:r>
              <w:rPr>
                <w:rFonts w:ascii="Arial Narrow" w:hAnsi="Arial Narrow" w:cs="Tahoma"/>
                <w:sz w:val="20"/>
                <w:szCs w:val="20"/>
              </w:rPr>
              <w:t>y servicios en caso de catástrofe  natural</w:t>
            </w:r>
            <w:r w:rsidR="00436076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</w:tr>
      <w:tr w:rsidR="00546287" w:rsidRPr="008B0C34" w14:paraId="3CB81CCA" w14:textId="77777777" w:rsidTr="00A62C92">
        <w:trPr>
          <w:cantSplit/>
          <w:trHeight w:val="1048"/>
        </w:trPr>
        <w:tc>
          <w:tcPr>
            <w:tcW w:w="2050" w:type="dxa"/>
            <w:vMerge/>
            <w:shd w:val="clear" w:color="auto" w:fill="F3F3F3"/>
          </w:tcPr>
          <w:p w14:paraId="409C0ED5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DF1D9B8" w14:textId="77777777" w:rsidR="00546287" w:rsidRPr="008B0C34" w:rsidRDefault="00546287" w:rsidP="00A62C9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3A479B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</w:rPr>
              <w:t>Determinar los tiempos estimados para cada actividad.</w:t>
            </w:r>
          </w:p>
          <w:p w14:paraId="10D9BE08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C5BFFA5" w14:textId="77777777" w:rsidR="00546287" w:rsidRPr="008B0C34" w:rsidRDefault="00546287" w:rsidP="00A62C92">
            <w:pPr>
              <w:rPr>
                <w:rFonts w:ascii="Arial Narrow" w:hAnsi="Arial Narrow" w:cs="Tahoma"/>
                <w:sz w:val="20"/>
                <w:szCs w:val="20"/>
              </w:rPr>
            </w:pPr>
          </w:p>
          <w:p w14:paraId="406B130A" w14:textId="77777777" w:rsidR="00546287" w:rsidRPr="008B0C34" w:rsidRDefault="00546287" w:rsidP="00A62C92">
            <w:pPr>
              <w:rPr>
                <w:rFonts w:ascii="Arial Narrow" w:hAnsi="Arial Narrow" w:cs="Tahoma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</w:rPr>
              <w:t>Indeterminados.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6C64604" w14:textId="77777777" w:rsidR="00546287" w:rsidRPr="008B0C34" w:rsidRDefault="00546287" w:rsidP="00A62C9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F78EA0F" w14:textId="77777777" w:rsidR="00546287" w:rsidRPr="008B0C34" w:rsidRDefault="00546287" w:rsidP="004360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</w:rPr>
              <w:t>Control y cumplimi</w:t>
            </w:r>
            <w:r w:rsidR="00E028A6">
              <w:rPr>
                <w:rFonts w:ascii="Arial Narrow" w:hAnsi="Arial Narrow" w:cs="Tahoma"/>
                <w:sz w:val="20"/>
                <w:szCs w:val="20"/>
              </w:rPr>
              <w:t>ento de las actividades en aproximadamente 24 horas de decretado el Estado de Excepción.</w:t>
            </w:r>
          </w:p>
        </w:tc>
      </w:tr>
      <w:tr w:rsidR="00546287" w:rsidRPr="008B0C34" w14:paraId="0A293158" w14:textId="77777777" w:rsidTr="00A62C92">
        <w:trPr>
          <w:cantSplit/>
          <w:trHeight w:val="380"/>
        </w:trPr>
        <w:tc>
          <w:tcPr>
            <w:tcW w:w="2050" w:type="dxa"/>
            <w:vMerge/>
            <w:shd w:val="clear" w:color="auto" w:fill="F3F3F3"/>
          </w:tcPr>
          <w:p w14:paraId="7E3534F7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A3DE1CA" w14:textId="77777777" w:rsidR="00546287" w:rsidRPr="00436076" w:rsidRDefault="00546287" w:rsidP="00A62C92">
            <w:pPr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130BD82E" w14:textId="77777777" w:rsidR="00546287" w:rsidRPr="00436076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  <w:highlight w:val="yellow"/>
              </w:rPr>
            </w:pPr>
            <w:r w:rsidRPr="009936E9">
              <w:rPr>
                <w:rFonts w:ascii="Arial Narrow" w:hAnsi="Arial Narrow" w:cs="Tahoma"/>
                <w:sz w:val="20"/>
                <w:szCs w:val="20"/>
              </w:rPr>
              <w:t xml:space="preserve">Establecer las fases en las que se </w:t>
            </w:r>
            <w:r w:rsidR="00F44DD9" w:rsidRPr="009936E9">
              <w:rPr>
                <w:rFonts w:ascii="Arial Narrow" w:hAnsi="Arial Narrow" w:cs="Tahoma"/>
                <w:sz w:val="20"/>
                <w:szCs w:val="20"/>
              </w:rPr>
              <w:t>necesitan la no objeción del Banco Mundial</w:t>
            </w:r>
            <w:r w:rsidRPr="009936E9">
              <w:rPr>
                <w:rFonts w:ascii="Arial Narrow" w:hAnsi="Arial Narrow" w:cs="Tahoma"/>
                <w:sz w:val="20"/>
                <w:szCs w:val="20"/>
              </w:rPr>
              <w:t xml:space="preserve"> al proceso.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8710F5D" w14:textId="77777777" w:rsidR="00546287" w:rsidRPr="00436076" w:rsidRDefault="00546287" w:rsidP="00A62C92">
            <w:pPr>
              <w:rPr>
                <w:rFonts w:ascii="Arial Narrow" w:hAnsi="Arial Narrow" w:cs="Tahoma"/>
                <w:sz w:val="20"/>
                <w:szCs w:val="20"/>
                <w:highlight w:val="yellow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34673488" w14:textId="77777777" w:rsidR="00546287" w:rsidRPr="00436076" w:rsidRDefault="00546287" w:rsidP="00A62C92">
            <w:pPr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765725C3" w14:textId="77777777" w:rsidR="00546287" w:rsidRPr="009936E9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9936E9">
              <w:rPr>
                <w:rFonts w:ascii="Arial Narrow" w:hAnsi="Arial Narrow" w:cs="Tahoma"/>
                <w:sz w:val="20"/>
                <w:szCs w:val="20"/>
              </w:rPr>
              <w:t>Informes de no objeción</w:t>
            </w:r>
            <w:r w:rsidR="00FE552E" w:rsidRPr="009936E9">
              <w:rPr>
                <w:rFonts w:ascii="Arial Narrow" w:hAnsi="Arial Narrow" w:cs="Tahoma"/>
                <w:sz w:val="20"/>
                <w:szCs w:val="20"/>
              </w:rPr>
              <w:t xml:space="preserve"> o conformidad por parte del Banco Mundial</w:t>
            </w:r>
            <w:r w:rsidRPr="009936E9">
              <w:rPr>
                <w:rFonts w:ascii="Arial Narrow" w:hAnsi="Arial Narrow" w:cs="Tahoma"/>
                <w:sz w:val="20"/>
                <w:szCs w:val="20"/>
              </w:rPr>
              <w:t xml:space="preserve"> dentro de los momentos establecidos.</w:t>
            </w:r>
          </w:p>
          <w:p w14:paraId="08509A50" w14:textId="77777777" w:rsidR="00546287" w:rsidRPr="00436076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  <w:highlight w:val="yellow"/>
              </w:rPr>
            </w:pPr>
          </w:p>
          <w:p w14:paraId="173C94E7" w14:textId="77777777" w:rsidR="00546287" w:rsidRPr="00436076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  <w:highlight w:val="yellow"/>
              </w:rPr>
            </w:pPr>
          </w:p>
        </w:tc>
      </w:tr>
      <w:tr w:rsidR="00546287" w:rsidRPr="008B0C34" w14:paraId="40D53364" w14:textId="77777777" w:rsidTr="00A62C92">
        <w:trPr>
          <w:cantSplit/>
        </w:trPr>
        <w:tc>
          <w:tcPr>
            <w:tcW w:w="9170" w:type="dxa"/>
            <w:gridSpan w:val="4"/>
            <w:tcBorders>
              <w:bottom w:val="single" w:sz="4" w:space="0" w:color="auto"/>
            </w:tcBorders>
            <w:shd w:val="clear" w:color="auto" w:fill="F3F3F3"/>
          </w:tcPr>
          <w:p w14:paraId="6956C51F" w14:textId="77777777" w:rsidR="00546287" w:rsidRPr="008B0C34" w:rsidRDefault="00546287" w:rsidP="00A62C92">
            <w:pPr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sz w:val="20"/>
                <w:szCs w:val="20"/>
              </w:rPr>
              <w:t>PROCEDIMIENTO</w:t>
            </w:r>
          </w:p>
        </w:tc>
      </w:tr>
      <w:tr w:rsidR="00546287" w:rsidRPr="008B0C34" w14:paraId="4569F707" w14:textId="77777777" w:rsidTr="00A62C92">
        <w:tc>
          <w:tcPr>
            <w:tcW w:w="2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216A34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napToGrid w:val="0"/>
                <w:sz w:val="20"/>
                <w:szCs w:val="20"/>
              </w:rPr>
            </w:pPr>
          </w:p>
          <w:p w14:paraId="72F435CA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bCs/>
                <w:iCs/>
                <w:snapToGrid w:val="0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bCs/>
                <w:iCs/>
                <w:snapToGrid w:val="0"/>
                <w:sz w:val="20"/>
                <w:szCs w:val="20"/>
              </w:rPr>
              <w:t>Actores:</w:t>
            </w:r>
          </w:p>
        </w:tc>
        <w:tc>
          <w:tcPr>
            <w:tcW w:w="7120" w:type="dxa"/>
            <w:gridSpan w:val="3"/>
            <w:tcBorders>
              <w:left w:val="single" w:sz="4" w:space="0" w:color="auto"/>
            </w:tcBorders>
          </w:tcPr>
          <w:p w14:paraId="1DC06B9D" w14:textId="77777777" w:rsidR="00546287" w:rsidRPr="008B0C34" w:rsidRDefault="00546287" w:rsidP="009936E9">
            <w:p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</w:p>
          <w:p w14:paraId="79ED28CB" w14:textId="77777777" w:rsidR="00546287" w:rsidRPr="008B0C34" w:rsidRDefault="00391DE6" w:rsidP="00546287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Gerente General</w:t>
            </w:r>
          </w:p>
          <w:p w14:paraId="1A42EDE2" w14:textId="77777777" w:rsidR="00546287" w:rsidRPr="008B0C34" w:rsidRDefault="00227301" w:rsidP="00546287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Gerencia  r</w:t>
            </w:r>
            <w:r w:rsidR="00B53FCD">
              <w:rPr>
                <w:rFonts w:ascii="Arial Narrow" w:hAnsi="Arial Narrow" w:cs="Tahoma"/>
                <w:sz w:val="20"/>
                <w:szCs w:val="20"/>
              </w:rPr>
              <w:t>equirente</w:t>
            </w:r>
          </w:p>
          <w:p w14:paraId="14ACAD94" w14:textId="77777777" w:rsidR="00546287" w:rsidRPr="008B0C34" w:rsidRDefault="00B53FCD" w:rsidP="00546287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Gerencia de Asesoría Jurídica</w:t>
            </w:r>
          </w:p>
          <w:p w14:paraId="3F8BBC44" w14:textId="77777777" w:rsidR="00546287" w:rsidRPr="00B53FCD" w:rsidRDefault="00391DE6" w:rsidP="00B53FC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Comisión Técnica </w:t>
            </w:r>
          </w:p>
          <w:p w14:paraId="6EC24AB3" w14:textId="77777777" w:rsidR="00546287" w:rsidRPr="008B0C34" w:rsidRDefault="00B53FCD" w:rsidP="00546287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lastRenderedPageBreak/>
              <w:t>Gerencia Administrativa Financiera</w:t>
            </w:r>
          </w:p>
          <w:p w14:paraId="2EB8B89A" w14:textId="77777777" w:rsidR="00546287" w:rsidRPr="009936E9" w:rsidRDefault="00546287" w:rsidP="00546287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  <w:r w:rsidRPr="009936E9">
              <w:rPr>
                <w:rFonts w:ascii="Arial Narrow" w:hAnsi="Arial Narrow" w:cs="Tahoma"/>
                <w:sz w:val="20"/>
                <w:szCs w:val="20"/>
              </w:rPr>
              <w:t xml:space="preserve">Banco </w:t>
            </w:r>
            <w:r w:rsidR="00B53FCD" w:rsidRPr="009936E9">
              <w:rPr>
                <w:rFonts w:ascii="Arial Narrow" w:hAnsi="Arial Narrow" w:cs="Tahoma"/>
                <w:sz w:val="20"/>
                <w:szCs w:val="20"/>
              </w:rPr>
              <w:t>Mundial</w:t>
            </w:r>
          </w:p>
          <w:p w14:paraId="7F8EC448" w14:textId="77777777" w:rsidR="00546287" w:rsidRPr="008B0C34" w:rsidRDefault="00B53FCD" w:rsidP="00546287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Oferentes </w:t>
            </w:r>
          </w:p>
          <w:p w14:paraId="230D0448" w14:textId="77777777" w:rsidR="00546287" w:rsidRPr="008B0C34" w:rsidRDefault="00546287" w:rsidP="00A62C92">
            <w:pPr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546287" w:rsidRPr="008B0C34" w14:paraId="56F2301A" w14:textId="77777777" w:rsidTr="00A62C92">
        <w:tc>
          <w:tcPr>
            <w:tcW w:w="2050" w:type="dxa"/>
            <w:tcBorders>
              <w:bottom w:val="single" w:sz="4" w:space="0" w:color="auto"/>
            </w:tcBorders>
            <w:shd w:val="clear" w:color="auto" w:fill="F3F3F3"/>
          </w:tcPr>
          <w:p w14:paraId="0D369C37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14:paraId="0313A733" w14:textId="77777777" w:rsidR="00546287" w:rsidRPr="008B0C34" w:rsidRDefault="00546287" w:rsidP="00A62C92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/>
                <w:sz w:val="20"/>
                <w:szCs w:val="20"/>
              </w:rPr>
              <w:t>Detalle del procedimiento:</w:t>
            </w:r>
          </w:p>
        </w:tc>
        <w:tc>
          <w:tcPr>
            <w:tcW w:w="7120" w:type="dxa"/>
            <w:gridSpan w:val="3"/>
            <w:tcBorders>
              <w:bottom w:val="single" w:sz="4" w:space="0" w:color="auto"/>
            </w:tcBorders>
          </w:tcPr>
          <w:p w14:paraId="2402125E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7E875486" w14:textId="77777777" w:rsidR="00546287" w:rsidRPr="00391DE6" w:rsidRDefault="009936E9" w:rsidP="00391DE6">
            <w:pPr>
              <w:pStyle w:val="Sangra3detindependiente"/>
              <w:ind w:left="0"/>
              <w:rPr>
                <w:rFonts w:ascii="Arial Narrow" w:hAnsi="Arial Narrow" w:cs="Tahoma"/>
                <w:sz w:val="20"/>
                <w:szCs w:val="20"/>
                <w:lang w:val="es-ES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Los 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>proceso</w:t>
            </w:r>
            <w:r>
              <w:rPr>
                <w:rFonts w:ascii="Arial Narrow" w:hAnsi="Arial Narrow" w:cs="Tahoma"/>
                <w:sz w:val="20"/>
                <w:szCs w:val="20"/>
                <w:lang w:val="es-ES"/>
              </w:rPr>
              <w:t>s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de adquisición de b</w:t>
            </w:r>
            <w:r w:rsidR="00B53FCD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ienes, obras </w:t>
            </w:r>
            <w:r w:rsidR="00FE552E">
              <w:rPr>
                <w:rFonts w:ascii="Arial Narrow" w:hAnsi="Arial Narrow" w:cs="Tahoma"/>
                <w:sz w:val="20"/>
                <w:szCs w:val="20"/>
                <w:lang w:val="es-ES"/>
              </w:rPr>
              <w:t>y servicios en caso de catástrofes</w:t>
            </w:r>
            <w:r w:rsidR="00B53FCD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naturales</w:t>
            </w:r>
            <w:r w:rsidR="00546287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estará</w:t>
            </w:r>
            <w:r w:rsidR="00227301">
              <w:rPr>
                <w:rFonts w:ascii="Arial Narrow" w:hAnsi="Arial Narrow" w:cs="Tahoma"/>
                <w:sz w:val="20"/>
                <w:szCs w:val="20"/>
                <w:lang w:val="es-ES"/>
              </w:rPr>
              <w:t>n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abierto</w:t>
            </w:r>
            <w:r>
              <w:rPr>
                <w:rFonts w:ascii="Arial Narrow" w:hAnsi="Arial Narrow" w:cs="Tahoma"/>
                <w:sz w:val="20"/>
                <w:szCs w:val="20"/>
                <w:lang w:val="es-ES"/>
              </w:rPr>
              <w:t>s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para todas </w:t>
            </w:r>
            <w:r>
              <w:rPr>
                <w:rFonts w:ascii="Arial Narrow" w:hAnsi="Arial Narrow" w:cs="Tahoma"/>
                <w:sz w:val="20"/>
                <w:szCs w:val="20"/>
                <w:lang w:val="es-ES"/>
              </w:rPr>
              <w:t>personas naturales y jurídica</w:t>
            </w:r>
            <w:r w:rsidR="00747BA4">
              <w:rPr>
                <w:rFonts w:ascii="Arial Narrow" w:hAnsi="Arial Narrow" w:cs="Tahoma"/>
                <w:sz w:val="20"/>
                <w:szCs w:val="20"/>
                <w:lang w:val="es-ES"/>
              </w:rPr>
              <w:t>s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que tengan inte</w:t>
            </w:r>
            <w:r>
              <w:rPr>
                <w:rFonts w:ascii="Arial Narrow" w:hAnsi="Arial Narrow" w:cs="Tahoma"/>
                <w:sz w:val="20"/>
                <w:szCs w:val="20"/>
                <w:lang w:val="es-ES"/>
              </w:rPr>
              <w:t>rés en participar.</w:t>
            </w:r>
          </w:p>
          <w:p w14:paraId="28C28840" w14:textId="77777777" w:rsidR="00546287" w:rsidRPr="008B0C34" w:rsidRDefault="00546287" w:rsidP="00A62C92">
            <w:pPr>
              <w:tabs>
                <w:tab w:val="num" w:pos="246"/>
              </w:tabs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</w:rPr>
              <w:t xml:space="preserve">La </w:t>
            </w:r>
            <w:r w:rsidR="00227301">
              <w:rPr>
                <w:rFonts w:ascii="Arial Narrow" w:hAnsi="Arial Narrow" w:cs="Tahoma"/>
                <w:b/>
                <w:sz w:val="20"/>
                <w:szCs w:val="20"/>
              </w:rPr>
              <w:t>Gerencia r</w:t>
            </w:r>
            <w:r w:rsidR="00B75E05">
              <w:rPr>
                <w:rFonts w:ascii="Arial Narrow" w:hAnsi="Arial Narrow" w:cs="Tahoma"/>
                <w:b/>
                <w:sz w:val="20"/>
                <w:szCs w:val="20"/>
              </w:rPr>
              <w:t>equirente</w:t>
            </w:r>
            <w:r w:rsidR="00747BA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B75E05">
              <w:rPr>
                <w:rFonts w:ascii="Arial Narrow" w:hAnsi="Arial Narrow" w:cs="Tahoma"/>
                <w:sz w:val="20"/>
                <w:szCs w:val="20"/>
              </w:rPr>
              <w:t xml:space="preserve">según el </w:t>
            </w:r>
            <w:r w:rsidR="003C6513">
              <w:rPr>
                <w:rFonts w:ascii="Arial Narrow" w:hAnsi="Arial Narrow" w:cs="Tahoma"/>
                <w:sz w:val="20"/>
                <w:szCs w:val="20"/>
              </w:rPr>
              <w:t xml:space="preserve">impacto negativo </w:t>
            </w:r>
            <w:r w:rsidR="003C6513" w:rsidRPr="00271CA5">
              <w:rPr>
                <w:rFonts w:ascii="Arial Narrow" w:hAnsi="Arial Narrow" w:cs="Tahoma"/>
                <w:sz w:val="20"/>
                <w:szCs w:val="20"/>
              </w:rPr>
              <w:t>que se requiera mitigar</w:t>
            </w:r>
            <w:r w:rsidR="00B75E05" w:rsidRPr="00271CA5">
              <w:rPr>
                <w:rFonts w:ascii="Arial Narrow" w:hAnsi="Arial Narrow" w:cs="Tahoma"/>
                <w:sz w:val="20"/>
                <w:szCs w:val="20"/>
              </w:rPr>
              <w:t xml:space="preserve">,  </w:t>
            </w:r>
            <w:r w:rsidRPr="00271CA5">
              <w:rPr>
                <w:rFonts w:ascii="Arial Narrow" w:hAnsi="Arial Narrow" w:cs="Tahoma"/>
                <w:sz w:val="20"/>
                <w:szCs w:val="20"/>
              </w:rPr>
              <w:t>determinará la necesidad</w:t>
            </w:r>
            <w:r w:rsidR="00FE552E" w:rsidRPr="00271CA5">
              <w:rPr>
                <w:rFonts w:ascii="Arial Narrow" w:hAnsi="Arial Narrow" w:cs="Tahoma"/>
                <w:sz w:val="20"/>
                <w:szCs w:val="20"/>
              </w:rPr>
              <w:t>,</w:t>
            </w:r>
            <w:r w:rsidRPr="00271CA5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FE552E" w:rsidRPr="00271CA5">
              <w:rPr>
                <w:rFonts w:ascii="Arial Narrow" w:hAnsi="Arial Narrow" w:cs="Tahoma"/>
                <w:sz w:val="20"/>
                <w:szCs w:val="20"/>
              </w:rPr>
              <w:t>elaborará la</w:t>
            </w:r>
            <w:r w:rsidR="00803A9C" w:rsidRPr="00271CA5">
              <w:rPr>
                <w:rFonts w:ascii="Arial Narrow" w:hAnsi="Arial Narrow" w:cs="Tahoma"/>
                <w:sz w:val="20"/>
                <w:szCs w:val="20"/>
              </w:rPr>
              <w:t xml:space="preserve"> memoria técnica, </w:t>
            </w:r>
            <w:r w:rsidR="00FE552E" w:rsidRPr="00271CA5">
              <w:rPr>
                <w:rFonts w:ascii="Arial Narrow" w:hAnsi="Arial Narrow" w:cs="Tahoma"/>
                <w:sz w:val="20"/>
                <w:szCs w:val="20"/>
              </w:rPr>
              <w:t>especificaciones técnicas y el presupuesto referencial que se relacionen al bien, obra y servicio a adquirirse</w:t>
            </w:r>
            <w:r w:rsidR="00FE552E">
              <w:rPr>
                <w:rFonts w:ascii="Arial Narrow" w:hAnsi="Arial Narrow" w:cs="Tahoma"/>
                <w:sz w:val="20"/>
                <w:szCs w:val="20"/>
              </w:rPr>
              <w:t xml:space="preserve"> y </w:t>
            </w:r>
            <w:r w:rsidRPr="008B0C34">
              <w:rPr>
                <w:rFonts w:ascii="Arial Narrow" w:hAnsi="Arial Narrow" w:cs="Tahoma"/>
                <w:sz w:val="20"/>
                <w:szCs w:val="20"/>
              </w:rPr>
              <w:t xml:space="preserve">solicitará a la </w:t>
            </w:r>
            <w:r w:rsidR="00B75E05">
              <w:rPr>
                <w:rFonts w:ascii="Arial Narrow" w:hAnsi="Arial Narrow" w:cs="Tahoma"/>
                <w:b/>
                <w:sz w:val="20"/>
                <w:szCs w:val="20"/>
              </w:rPr>
              <w:t>Gerencia Administrativa Financiera</w:t>
            </w:r>
            <w:r w:rsidRPr="008B0C3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="00B75E05">
              <w:rPr>
                <w:rFonts w:ascii="Arial Narrow" w:hAnsi="Arial Narrow" w:cs="Tahoma"/>
                <w:sz w:val="20"/>
                <w:szCs w:val="20"/>
              </w:rPr>
              <w:t>la Certificación Presupuestaria correspondiente.</w:t>
            </w:r>
          </w:p>
          <w:p w14:paraId="49F1C48F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14:paraId="5B0E7C76" w14:textId="77777777" w:rsidR="00546287" w:rsidRDefault="00B75E05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Obtenida la C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</w:rPr>
              <w:t>ertifica</w:t>
            </w:r>
            <w:r>
              <w:rPr>
                <w:rFonts w:ascii="Arial Narrow" w:hAnsi="Arial Narrow" w:cs="Tahoma"/>
                <w:sz w:val="20"/>
                <w:szCs w:val="20"/>
              </w:rPr>
              <w:t>ción de Presupuestaria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</w:rPr>
              <w:t xml:space="preserve">, </w:t>
            </w:r>
            <w:r w:rsidR="00227301">
              <w:rPr>
                <w:rFonts w:ascii="Arial Narrow" w:hAnsi="Arial Narrow" w:cs="Tahoma"/>
                <w:sz w:val="20"/>
                <w:szCs w:val="20"/>
              </w:rPr>
              <w:t xml:space="preserve">la </w:t>
            </w:r>
            <w:r w:rsidR="00227301" w:rsidRPr="00227301">
              <w:rPr>
                <w:rFonts w:ascii="Arial Narrow" w:hAnsi="Arial Narrow" w:cs="Tahoma"/>
                <w:b/>
                <w:sz w:val="20"/>
                <w:szCs w:val="20"/>
              </w:rPr>
              <w:t>Gerencia r</w:t>
            </w:r>
            <w:r w:rsidRPr="00227301">
              <w:rPr>
                <w:rFonts w:ascii="Arial Narrow" w:hAnsi="Arial Narrow" w:cs="Tahoma"/>
                <w:b/>
                <w:sz w:val="20"/>
                <w:szCs w:val="20"/>
              </w:rPr>
              <w:t>equirente</w:t>
            </w:r>
            <w:r w:rsidR="00747BA4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="00747BA4" w:rsidRPr="00271CA5">
              <w:rPr>
                <w:rFonts w:ascii="Arial Narrow" w:hAnsi="Arial Narrow" w:cs="Tahoma"/>
                <w:bCs/>
                <w:sz w:val="20"/>
                <w:szCs w:val="20"/>
              </w:rPr>
              <w:t>conjuntamente con el</w:t>
            </w:r>
            <w:r w:rsidR="00546287" w:rsidRPr="00271CA5">
              <w:rPr>
                <w:rFonts w:ascii="Arial Narrow" w:hAnsi="Arial Narrow" w:cs="Tahoma"/>
                <w:bCs/>
                <w:sz w:val="20"/>
                <w:szCs w:val="20"/>
              </w:rPr>
              <w:t xml:space="preserve"> informe del proceso de adquisición de</w:t>
            </w:r>
            <w:r w:rsidRPr="00271CA5">
              <w:rPr>
                <w:rFonts w:ascii="Arial Narrow" w:hAnsi="Arial Narrow" w:cs="Tahoma"/>
                <w:bCs/>
                <w:sz w:val="20"/>
                <w:szCs w:val="20"/>
              </w:rPr>
              <w:t xml:space="preserve"> bienes, </w:t>
            </w:r>
            <w:r w:rsidR="00546287" w:rsidRPr="00271CA5">
              <w:rPr>
                <w:rFonts w:ascii="Arial Narrow" w:hAnsi="Arial Narrow" w:cs="Tahoma"/>
                <w:bCs/>
                <w:sz w:val="20"/>
                <w:szCs w:val="20"/>
              </w:rPr>
              <w:t>obras y</w:t>
            </w:r>
            <w:r w:rsidRPr="00271CA5">
              <w:rPr>
                <w:rFonts w:ascii="Arial Narrow" w:hAnsi="Arial Narrow" w:cs="Tahoma"/>
                <w:bCs/>
                <w:sz w:val="20"/>
                <w:szCs w:val="20"/>
              </w:rPr>
              <w:t xml:space="preserve"> servi</w:t>
            </w:r>
            <w:r w:rsidR="00FE552E" w:rsidRPr="00271CA5">
              <w:rPr>
                <w:rFonts w:ascii="Arial Narrow" w:hAnsi="Arial Narrow" w:cs="Tahoma"/>
                <w:bCs/>
                <w:sz w:val="20"/>
                <w:szCs w:val="20"/>
              </w:rPr>
              <w:t>cios</w:t>
            </w:r>
            <w:r w:rsidR="00803A9C" w:rsidRPr="00271CA5">
              <w:rPr>
                <w:rFonts w:ascii="Arial Narrow" w:hAnsi="Arial Narrow" w:cs="Tahoma"/>
                <w:bCs/>
                <w:sz w:val="20"/>
                <w:szCs w:val="20"/>
              </w:rPr>
              <w:t>,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lo enviará hacia la </w:t>
            </w:r>
            <w:r w:rsidR="00546287" w:rsidRPr="008B0C34">
              <w:rPr>
                <w:rFonts w:ascii="Arial Narrow" w:hAnsi="Arial Narrow" w:cs="Tahoma"/>
                <w:b/>
                <w:bCs/>
                <w:sz w:val="20"/>
                <w:szCs w:val="20"/>
              </w:rPr>
              <w:t>Gerencia General</w:t>
            </w:r>
            <w:r w:rsidR="00FE552E">
              <w:rPr>
                <w:rFonts w:ascii="Arial Narrow" w:hAnsi="Arial Narrow" w:cs="Tahoma"/>
                <w:bCs/>
                <w:sz w:val="20"/>
                <w:szCs w:val="20"/>
              </w:rPr>
              <w:t xml:space="preserve"> para la autorización de inicio 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del  proceso </w:t>
            </w:r>
            <w:r w:rsidR="00FE552E">
              <w:rPr>
                <w:rFonts w:ascii="Arial Narrow" w:hAnsi="Arial Narrow" w:cs="Tahoma"/>
                <w:bCs/>
                <w:sz w:val="20"/>
                <w:szCs w:val="20"/>
              </w:rPr>
              <w:t>pre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>contractual.</w:t>
            </w:r>
          </w:p>
          <w:p w14:paraId="55C9A4E4" w14:textId="77777777" w:rsidR="00747BA4" w:rsidRDefault="00747BA4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33C7997E" w14:textId="77777777" w:rsidR="00747BA4" w:rsidRPr="008B0C34" w:rsidRDefault="00747BA4" w:rsidP="00747BA4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>L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a </w:t>
            </w:r>
            <w:r w:rsidRPr="008B0C34">
              <w:rPr>
                <w:rFonts w:ascii="Arial Narrow" w:hAnsi="Arial Narrow" w:cs="Tahoma"/>
                <w:b/>
                <w:bCs/>
                <w:sz w:val="20"/>
                <w:szCs w:val="20"/>
              </w:rPr>
              <w:t>Gerencia General</w:t>
            </w:r>
            <w:r w:rsidR="00271CA5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procederá con el nombramiento </w:t>
            </w:r>
            <w:r w:rsidRPr="00271CA5">
              <w:rPr>
                <w:rFonts w:ascii="Arial Narrow" w:hAnsi="Arial Narrow" w:cs="Tahoma"/>
                <w:bCs/>
                <w:sz w:val="20"/>
                <w:szCs w:val="20"/>
              </w:rPr>
              <w:t>de</w:t>
            </w:r>
            <w:r w:rsidR="00803A9C" w:rsidRPr="00271CA5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Pr="00271CA5">
              <w:rPr>
                <w:rFonts w:ascii="Arial Narrow" w:hAnsi="Arial Narrow" w:cs="Tahoma"/>
                <w:bCs/>
                <w:sz w:val="20"/>
                <w:szCs w:val="20"/>
              </w:rPr>
              <w:t>l</w:t>
            </w:r>
            <w:r w:rsidR="00803A9C" w:rsidRPr="00271CA5">
              <w:rPr>
                <w:rFonts w:ascii="Arial Narrow" w:hAnsi="Arial Narrow" w:cs="Tahoma"/>
                <w:bCs/>
                <w:sz w:val="20"/>
                <w:szCs w:val="20"/>
              </w:rPr>
              <w:t>a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Comisión Técnica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, la cual estará conformada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 de la siguiente manera:</w:t>
            </w:r>
          </w:p>
          <w:p w14:paraId="0B584860" w14:textId="77777777" w:rsidR="00747BA4" w:rsidRPr="008B0C34" w:rsidRDefault="00747BA4" w:rsidP="00747BA4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54DD36EF" w14:textId="77777777" w:rsidR="00747BA4" w:rsidRPr="004E789A" w:rsidRDefault="00747BA4" w:rsidP="00747BA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4E789A">
              <w:rPr>
                <w:rFonts w:ascii="Arial Narrow" w:hAnsi="Arial Narrow" w:cs="Tahoma"/>
                <w:bCs/>
                <w:sz w:val="20"/>
                <w:szCs w:val="20"/>
              </w:rPr>
              <w:t>El Geren</w:t>
            </w:r>
            <w:r w:rsidR="009F3EC6">
              <w:rPr>
                <w:rFonts w:ascii="Arial Narrow" w:hAnsi="Arial Narrow" w:cs="Tahoma"/>
                <w:bCs/>
                <w:sz w:val="20"/>
                <w:szCs w:val="20"/>
              </w:rPr>
              <w:t>te de la Gerencia r</w:t>
            </w:r>
            <w:r w:rsidRPr="004E789A">
              <w:rPr>
                <w:rFonts w:ascii="Arial Narrow" w:hAnsi="Arial Narrow" w:cs="Tahoma"/>
                <w:bCs/>
                <w:sz w:val="20"/>
                <w:szCs w:val="20"/>
              </w:rPr>
              <w:t>equirente, según el caso, quién presid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irá la Comisión Técnica</w:t>
            </w:r>
          </w:p>
          <w:p w14:paraId="4591412C" w14:textId="77777777" w:rsidR="00747BA4" w:rsidRPr="008B0C34" w:rsidRDefault="00747BA4" w:rsidP="00747BA4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707E005C" w14:textId="77777777" w:rsidR="00747BA4" w:rsidRDefault="00747BA4" w:rsidP="00747BA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>Dos servidores</w:t>
            </w:r>
            <w:r w:rsidRPr="004E789A">
              <w:rPr>
                <w:rFonts w:ascii="Arial Narrow" w:hAnsi="Arial Narrow" w:cs="Tahoma"/>
                <w:bCs/>
                <w:sz w:val="20"/>
                <w:szCs w:val="20"/>
              </w:rPr>
              <w:t xml:space="preserve"> de la Empresa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afines al objeto</w:t>
            </w:r>
            <w:r w:rsidRPr="004E789A">
              <w:rPr>
                <w:rFonts w:ascii="Arial Narrow" w:hAnsi="Arial Narrow" w:cs="Tahoma"/>
                <w:bCs/>
                <w:sz w:val="20"/>
                <w:szCs w:val="20"/>
              </w:rPr>
              <w:t xml:space="preserve"> de la contratación.</w:t>
            </w:r>
          </w:p>
          <w:p w14:paraId="2CE0BF49" w14:textId="77777777" w:rsidR="00747BA4" w:rsidRPr="004E789A" w:rsidRDefault="00747BA4" w:rsidP="00747BA4">
            <w:pPr>
              <w:pStyle w:val="Prrafodelista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451722B8" w14:textId="77777777" w:rsidR="00747BA4" w:rsidRPr="004E789A" w:rsidRDefault="00747BA4" w:rsidP="00747BA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4E789A">
              <w:rPr>
                <w:rFonts w:ascii="Arial Narrow" w:hAnsi="Arial Narrow" w:cs="Tahoma"/>
                <w:bCs/>
                <w:sz w:val="20"/>
                <w:szCs w:val="20"/>
              </w:rPr>
              <w:t>Actuará como Secretario, con derecho a voz pero sin voto, uno de los abogados de la Gerencia de Asesoría Jurídica q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ue será designado por la Comisión Técnica.</w:t>
            </w:r>
          </w:p>
          <w:p w14:paraId="239BC676" w14:textId="77777777" w:rsidR="00747BA4" w:rsidRPr="008B0C34" w:rsidRDefault="00747BA4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2A1959A3" w14:textId="77777777" w:rsidR="00546287" w:rsidRDefault="00FE552E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>Una vez autorizado el</w:t>
            </w:r>
            <w:r w:rsidR="00B75E05">
              <w:rPr>
                <w:rFonts w:ascii="Arial Narrow" w:hAnsi="Arial Narrow" w:cs="Tahoma"/>
                <w:bCs/>
                <w:sz w:val="20"/>
                <w:szCs w:val="20"/>
              </w:rPr>
              <w:t xml:space="preserve"> inicio de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l</w:t>
            </w:r>
            <w:r w:rsidR="00B75E05">
              <w:rPr>
                <w:rFonts w:ascii="Arial Narrow" w:hAnsi="Arial Narrow" w:cs="Tahoma"/>
                <w:bCs/>
                <w:sz w:val="20"/>
                <w:szCs w:val="20"/>
              </w:rPr>
              <w:t xml:space="preserve"> proceso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, la </w:t>
            </w:r>
            <w:r w:rsidR="00747BA4" w:rsidRPr="00227301">
              <w:rPr>
                <w:rFonts w:ascii="Arial Narrow" w:hAnsi="Arial Narrow" w:cs="Tahoma"/>
                <w:b/>
                <w:bCs/>
                <w:sz w:val="20"/>
                <w:szCs w:val="20"/>
              </w:rPr>
              <w:t>Gerencia r</w:t>
            </w:r>
            <w:r w:rsidR="00B75E05" w:rsidRPr="00227301">
              <w:rPr>
                <w:rFonts w:ascii="Arial Narrow" w:hAnsi="Arial Narrow" w:cs="Tahoma"/>
                <w:b/>
                <w:bCs/>
                <w:sz w:val="20"/>
                <w:szCs w:val="20"/>
              </w:rPr>
              <w:t>equirente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realizará los Documentos Precontractuales conjuntamente con la </w:t>
            </w:r>
            <w:r w:rsidR="00B75E05"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Gerencia de Asesoría Jurídica. </w:t>
            </w:r>
          </w:p>
          <w:p w14:paraId="2990819B" w14:textId="77777777" w:rsidR="00B75E05" w:rsidRPr="008B0C34" w:rsidRDefault="00B75E05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27C8E469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>Los Documentos Precontractuales deberán contener:</w:t>
            </w:r>
          </w:p>
          <w:p w14:paraId="60EF6676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5B3AA04C" w14:textId="77777777" w:rsidR="00546287" w:rsidRPr="008B0C34" w:rsidRDefault="00747BA4" w:rsidP="00546287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Carta de </w:t>
            </w:r>
            <w:r w:rsidR="00B75E05">
              <w:rPr>
                <w:rFonts w:ascii="Arial Narrow" w:hAnsi="Arial Narrow" w:cs="Tahoma"/>
                <w:bCs/>
                <w:sz w:val="20"/>
                <w:szCs w:val="20"/>
              </w:rPr>
              <w:t>Invitación</w:t>
            </w:r>
            <w:r w:rsidR="00FE552E">
              <w:rPr>
                <w:rFonts w:ascii="Arial Narrow" w:hAnsi="Arial Narrow" w:cs="Tahoma"/>
                <w:bCs/>
                <w:sz w:val="20"/>
                <w:szCs w:val="20"/>
              </w:rPr>
              <w:t>.</w:t>
            </w:r>
          </w:p>
          <w:p w14:paraId="73245EDF" w14:textId="77777777" w:rsidR="00546287" w:rsidRPr="00747BA4" w:rsidRDefault="00747BA4" w:rsidP="00546287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747BA4">
              <w:rPr>
                <w:rFonts w:ascii="Arial Narrow" w:hAnsi="Arial Narrow" w:cs="Tahoma"/>
                <w:bCs/>
                <w:sz w:val="20"/>
                <w:szCs w:val="20"/>
              </w:rPr>
              <w:t>E</w:t>
            </w:r>
            <w:r w:rsidR="00B75E05" w:rsidRPr="00747BA4">
              <w:rPr>
                <w:rFonts w:ascii="Arial Narrow" w:hAnsi="Arial Narrow" w:cs="Tahoma"/>
                <w:bCs/>
                <w:sz w:val="20"/>
                <w:szCs w:val="20"/>
              </w:rPr>
              <w:t>specificaciones Técnicas</w:t>
            </w:r>
            <w:r w:rsidRPr="00747BA4">
              <w:rPr>
                <w:rFonts w:ascii="Arial Narrow" w:hAnsi="Arial Narrow" w:cs="Tahoma"/>
                <w:bCs/>
                <w:sz w:val="20"/>
                <w:szCs w:val="20"/>
              </w:rPr>
              <w:t>, Tabla de Cantidades y Precios</w:t>
            </w:r>
            <w:r w:rsidR="00271CA5">
              <w:rPr>
                <w:rFonts w:ascii="Arial Narrow" w:hAnsi="Arial Narrow" w:cs="Tahoma"/>
                <w:bCs/>
                <w:sz w:val="20"/>
                <w:szCs w:val="20"/>
              </w:rPr>
              <w:t>;</w:t>
            </w:r>
            <w:r w:rsidRPr="00747BA4">
              <w:rPr>
                <w:rFonts w:ascii="Arial Narrow" w:hAnsi="Arial Narrow" w:cs="Tahoma"/>
                <w:bCs/>
                <w:sz w:val="20"/>
                <w:szCs w:val="20"/>
              </w:rPr>
              <w:t xml:space="preserve"> y</w:t>
            </w:r>
            <w:r w:rsidR="00271CA5">
              <w:rPr>
                <w:rFonts w:ascii="Arial Narrow" w:hAnsi="Arial Narrow" w:cs="Tahoma"/>
                <w:bCs/>
                <w:sz w:val="20"/>
                <w:szCs w:val="20"/>
              </w:rPr>
              <w:t>,</w:t>
            </w:r>
            <w:r w:rsidRPr="00747BA4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="00B75E05" w:rsidRPr="00747BA4">
              <w:rPr>
                <w:rFonts w:ascii="Arial Narrow" w:hAnsi="Arial Narrow" w:cs="Tahoma"/>
                <w:bCs/>
                <w:sz w:val="20"/>
                <w:szCs w:val="20"/>
              </w:rPr>
              <w:t>Lista de Bienes y Servicios</w:t>
            </w:r>
            <w:r w:rsidR="00271CA5">
              <w:rPr>
                <w:rFonts w:ascii="Arial Narrow" w:hAnsi="Arial Narrow" w:cs="Tahoma"/>
                <w:bCs/>
                <w:sz w:val="20"/>
                <w:szCs w:val="20"/>
              </w:rPr>
              <w:t>, según corresponda.</w:t>
            </w:r>
          </w:p>
          <w:p w14:paraId="555873FE" w14:textId="77777777" w:rsidR="00546287" w:rsidRPr="008B0C34" w:rsidRDefault="00546287" w:rsidP="00546287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>Presupuesto Referencial.</w:t>
            </w:r>
          </w:p>
          <w:p w14:paraId="3D66AF2A" w14:textId="77777777" w:rsidR="00546287" w:rsidRPr="00B75E05" w:rsidRDefault="00546287" w:rsidP="00B75E0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>Principios y Criterios pa</w:t>
            </w:r>
            <w:r w:rsidR="00B75E05">
              <w:rPr>
                <w:rFonts w:ascii="Arial Narrow" w:hAnsi="Arial Narrow" w:cs="Tahoma"/>
                <w:bCs/>
                <w:sz w:val="20"/>
                <w:szCs w:val="20"/>
              </w:rPr>
              <w:t>ra la Evaluación de las Oferta</w:t>
            </w:r>
            <w:r w:rsidR="00FE552E">
              <w:rPr>
                <w:rFonts w:ascii="Arial Narrow" w:hAnsi="Arial Narrow" w:cs="Tahoma"/>
                <w:bCs/>
                <w:sz w:val="20"/>
                <w:szCs w:val="20"/>
              </w:rPr>
              <w:t>.</w:t>
            </w:r>
          </w:p>
          <w:p w14:paraId="275ABA92" w14:textId="77777777" w:rsidR="00546287" w:rsidRPr="008B0C34" w:rsidRDefault="00546287" w:rsidP="00546287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>Formularios de la Oferta</w:t>
            </w:r>
            <w:r w:rsidR="00B75E05">
              <w:rPr>
                <w:rFonts w:ascii="Arial Narrow" w:hAnsi="Arial Narrow" w:cs="Tahoma"/>
                <w:bCs/>
                <w:sz w:val="20"/>
                <w:szCs w:val="20"/>
              </w:rPr>
              <w:t xml:space="preserve"> (Formulario No. 1 Carta de Adhesión / Formulario. No 2 Oferta Económica)</w:t>
            </w:r>
            <w:r w:rsidR="00FE552E">
              <w:rPr>
                <w:rFonts w:ascii="Arial Narrow" w:hAnsi="Arial Narrow" w:cs="Tahoma"/>
                <w:bCs/>
                <w:sz w:val="20"/>
                <w:szCs w:val="20"/>
              </w:rPr>
              <w:t>.</w:t>
            </w:r>
          </w:p>
          <w:p w14:paraId="5EB4447C" w14:textId="77777777" w:rsidR="00A506B5" w:rsidRDefault="00A506B5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44B433E5" w14:textId="77777777" w:rsidR="00A506B5" w:rsidRDefault="00A506B5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>El Sec</w:t>
            </w:r>
            <w:r w:rsidR="004E789A">
              <w:rPr>
                <w:rFonts w:ascii="Arial Narrow" w:hAnsi="Arial Narrow" w:cs="Tahoma"/>
                <w:bCs/>
                <w:sz w:val="20"/>
                <w:szCs w:val="20"/>
              </w:rPr>
              <w:t xml:space="preserve">retario de la </w:t>
            </w:r>
            <w:r w:rsidR="004E789A" w:rsidRPr="00227301">
              <w:rPr>
                <w:rFonts w:ascii="Arial Narrow" w:hAnsi="Arial Narrow" w:cs="Tahoma"/>
                <w:b/>
                <w:bCs/>
                <w:sz w:val="20"/>
                <w:szCs w:val="20"/>
              </w:rPr>
              <w:t>Comisión Técni</w:t>
            </w:r>
            <w:r w:rsidR="00747BA4" w:rsidRPr="00227301">
              <w:rPr>
                <w:rFonts w:ascii="Arial Narrow" w:hAnsi="Arial Narrow" w:cs="Tahoma"/>
                <w:b/>
                <w:bCs/>
                <w:sz w:val="20"/>
                <w:szCs w:val="20"/>
              </w:rPr>
              <w:t>ca</w:t>
            </w:r>
            <w:r w:rsidR="00747BA4">
              <w:rPr>
                <w:rFonts w:ascii="Arial Narrow" w:hAnsi="Arial Narrow" w:cs="Tahoma"/>
                <w:bCs/>
                <w:sz w:val="20"/>
                <w:szCs w:val="20"/>
              </w:rPr>
              <w:t>, procederá a invitar a mínimo</w:t>
            </w:r>
            <w:r w:rsidR="004E789A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tres </w:t>
            </w:r>
            <w:r w:rsidR="00DE2979">
              <w:rPr>
                <w:rFonts w:ascii="Arial Narrow" w:hAnsi="Arial Narrow" w:cs="Tahoma"/>
                <w:bCs/>
                <w:sz w:val="20"/>
                <w:szCs w:val="20"/>
              </w:rPr>
              <w:t xml:space="preserve">proveedores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seleccionados</w:t>
            </w:r>
            <w:r w:rsidR="004E789A">
              <w:rPr>
                <w:rFonts w:ascii="Arial Narrow" w:hAnsi="Arial Narrow" w:cs="Tahoma"/>
                <w:bCs/>
                <w:sz w:val="20"/>
                <w:szCs w:val="20"/>
              </w:rPr>
              <w:t xml:space="preserve"> por la Gerencia General, constantes en 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>el registro de proveedores del SERCOP.</w:t>
            </w:r>
          </w:p>
          <w:p w14:paraId="5037B2C7" w14:textId="77777777" w:rsidR="00747BA4" w:rsidRDefault="00747BA4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03D26D4A" w14:textId="77777777" w:rsidR="00747BA4" w:rsidRDefault="00747BA4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En </w:t>
            </w:r>
            <w:r w:rsidR="00227301">
              <w:rPr>
                <w:rFonts w:ascii="Arial Narrow" w:hAnsi="Arial Narrow" w:cs="Tahoma"/>
                <w:bCs/>
                <w:sz w:val="20"/>
                <w:szCs w:val="20"/>
              </w:rPr>
              <w:t>caso de no encontrarse a tres proveedores</w:t>
            </w:r>
            <w:r w:rsidR="009F3EC6">
              <w:rPr>
                <w:rFonts w:ascii="Arial Narrow" w:hAnsi="Arial Narrow" w:cs="Tahoma"/>
                <w:bCs/>
                <w:sz w:val="20"/>
                <w:szCs w:val="20"/>
              </w:rPr>
              <w:t xml:space="preserve"> en la localidad, se podrá inv</w:t>
            </w:r>
            <w:r w:rsidR="00227301">
              <w:rPr>
                <w:rFonts w:ascii="Arial Narrow" w:hAnsi="Arial Narrow" w:cs="Tahoma"/>
                <w:bCs/>
                <w:sz w:val="20"/>
                <w:szCs w:val="20"/>
              </w:rPr>
              <w:t>itar a uno o dos</w:t>
            </w:r>
            <w:r w:rsidR="009F3EC6">
              <w:rPr>
                <w:rFonts w:ascii="Arial Narrow" w:hAnsi="Arial Narrow" w:cs="Tahoma"/>
                <w:bCs/>
                <w:sz w:val="20"/>
                <w:szCs w:val="20"/>
              </w:rPr>
              <w:t xml:space="preserve"> proveedores.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</w:p>
          <w:p w14:paraId="3AB76010" w14:textId="77777777" w:rsidR="00A506B5" w:rsidRPr="00A506B5" w:rsidRDefault="00A506B5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27ED17C9" w14:textId="77777777" w:rsidR="00546287" w:rsidRPr="008B0C34" w:rsidRDefault="00DE2979" w:rsidP="00A62C92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L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</w:rPr>
              <w:t xml:space="preserve">os </w:t>
            </w:r>
            <w:r w:rsidR="00546287" w:rsidRPr="008B0C34">
              <w:rPr>
                <w:rFonts w:ascii="Arial Narrow" w:hAnsi="Arial Narrow" w:cs="Tahoma"/>
                <w:b/>
                <w:sz w:val="20"/>
                <w:szCs w:val="20"/>
              </w:rPr>
              <w:t>Oferentes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revisarán los documentos precontractuales 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</w:rPr>
              <w:t>y realizarán sus ofertas en los f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ormularios correspondientes. </w:t>
            </w:r>
          </w:p>
          <w:p w14:paraId="4DB648EB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65184379" w14:textId="77777777" w:rsidR="00546287" w:rsidRPr="00DE2979" w:rsidRDefault="00546287" w:rsidP="00DE2979">
            <w:pPr>
              <w:pStyle w:val="Sangradetextonormal"/>
              <w:tabs>
                <w:tab w:val="left" w:pos="-720"/>
                <w:tab w:val="left" w:pos="0"/>
                <w:tab w:val="left" w:pos="720"/>
              </w:tabs>
              <w:ind w:left="0"/>
              <w:rPr>
                <w:rFonts w:ascii="Arial Narrow" w:hAnsi="Arial Narrow" w:cs="Tahoma"/>
                <w:sz w:val="20"/>
                <w:szCs w:val="20"/>
                <w:lang w:val="es-ES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El </w:t>
            </w:r>
            <w:r w:rsidRPr="007B4E51">
              <w:rPr>
                <w:rFonts w:ascii="Arial Narrow" w:hAnsi="Arial Narrow" w:cs="Tahoma"/>
                <w:b/>
                <w:sz w:val="20"/>
                <w:szCs w:val="20"/>
                <w:lang w:val="es-ES"/>
              </w:rPr>
              <w:t>Oferente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debe re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softHyphen/>
              <w:t>visar cuidadosamente los do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softHyphen/>
              <w:t>cumen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softHyphen/>
              <w:t>tos precontrac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softHyphen/>
              <w:t xml:space="preserve">tuales y </w:t>
            </w:r>
            <w:r w:rsidR="00DE2979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adherirse (Formulario No. 1) a todos los 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>requisitos solicitados en ellos. La omisión o des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softHyphen/>
              <w:t>cuido del Oferente al revi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softHyphen/>
              <w:t>sar los documentos no le relevará de sus obligaciones en relación con su oferta.</w:t>
            </w:r>
          </w:p>
          <w:p w14:paraId="6EE16C92" w14:textId="77777777" w:rsidR="00546287" w:rsidRPr="008B0C34" w:rsidRDefault="004E789A" w:rsidP="00A62C92">
            <w:pPr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Los bienes, obras y servicios, 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se contratarán bajo la modalidad de precios fijos. No se </w:t>
            </w:r>
            <w:r w:rsidR="00B8424E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reconocerá reajuste de precios.</w:t>
            </w:r>
          </w:p>
          <w:p w14:paraId="590F014B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/>
                <w:bCs/>
                <w:sz w:val="20"/>
                <w:szCs w:val="20"/>
                <w:u w:val="single"/>
                <w:lang w:val="es-ES_tradnl"/>
              </w:rPr>
            </w:pPr>
          </w:p>
          <w:p w14:paraId="2FB17596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/>
                <w:bCs/>
                <w:sz w:val="20"/>
                <w:szCs w:val="20"/>
                <w:u w:val="single"/>
                <w:lang w:val="es-ES_tradnl"/>
              </w:rPr>
            </w:pPr>
            <w:r w:rsidRPr="008B0C34">
              <w:rPr>
                <w:rFonts w:ascii="Arial Narrow" w:hAnsi="Arial Narrow" w:cs="Tahoma"/>
                <w:b/>
                <w:bCs/>
                <w:sz w:val="20"/>
                <w:szCs w:val="20"/>
                <w:u w:val="single"/>
                <w:lang w:val="es-ES_tradnl"/>
              </w:rPr>
              <w:lastRenderedPageBreak/>
              <w:t>Presentación y contenido de las ofertas:</w:t>
            </w:r>
          </w:p>
          <w:p w14:paraId="45F8BF14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_tradnl"/>
              </w:rPr>
            </w:pPr>
          </w:p>
          <w:p w14:paraId="72C735F5" w14:textId="77777777" w:rsidR="00546287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Los </w:t>
            </w:r>
            <w:r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Oferentes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deberán presentar los documentos de las ofertas </w:t>
            </w:r>
            <w:r w:rsidR="00803A9C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en formato impreso</w:t>
            </w:r>
            <w:r w:rsidR="00803A9C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en forma clara y com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ple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ta, utilizando los formularios requeridos, sin enmiendas, borrones o en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tre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li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 xml:space="preserve">neados. </w:t>
            </w:r>
          </w:p>
          <w:p w14:paraId="5F6DF415" w14:textId="77777777" w:rsidR="00B8424E" w:rsidRPr="008B0C34" w:rsidRDefault="00B8424E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1839C20B" w14:textId="77777777" w:rsidR="00546287" w:rsidRPr="008B0C34" w:rsidRDefault="00B8424E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La oferta se pre</w:t>
            </w: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senta</w:t>
            </w: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rá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en un sobre cerrado,</w:t>
            </w:r>
            <w:r w:rsidR="00546287"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 xml:space="preserve"> 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con sufi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cientes se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guridades que im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pi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dan conocer su conteni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d</w:t>
            </w:r>
            <w:r w:rsidR="00546287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o antes de su apertura oficial.</w:t>
            </w:r>
          </w:p>
          <w:p w14:paraId="7AD5CF7F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/>
                <w:spacing w:val="-3"/>
                <w:sz w:val="20"/>
                <w:szCs w:val="20"/>
                <w:lang w:val="es-ES_tradnl"/>
              </w:rPr>
            </w:pPr>
          </w:p>
          <w:p w14:paraId="7786417B" w14:textId="77777777" w:rsidR="00546287" w:rsidRPr="008B0C34" w:rsidRDefault="004E789A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La </w:t>
            </w:r>
            <w:r w:rsidRPr="007B4E51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Comisión Técnica</w:t>
            </w: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, </w:t>
            </w:r>
            <w:r w:rsidR="00B8424E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no 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aceptará las ofertas enviadas por correo electrónico o fax, o presentadas fuera de la hora límite establecida o en otro lugar.</w:t>
            </w:r>
          </w:p>
          <w:p w14:paraId="748AFFBF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13822A2A" w14:textId="77777777" w:rsidR="00546287" w:rsidRDefault="00546287" w:rsidP="00B8424E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El </w:t>
            </w:r>
            <w:r w:rsidR="004E789A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Secretario de la Comisión Técnica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recibi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rá y conferirá comprobantes de recep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 xml:space="preserve">ción por cada oferta </w:t>
            </w:r>
            <w:r w:rsidR="00B8424E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entregada.</w:t>
            </w:r>
          </w:p>
          <w:p w14:paraId="039856C4" w14:textId="77777777" w:rsidR="00B8424E" w:rsidRPr="00B8424E" w:rsidRDefault="00B8424E" w:rsidP="00B8424E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064557F3" w14:textId="77777777" w:rsidR="00546287" w:rsidRPr="008B0C34" w:rsidRDefault="00546287" w:rsidP="00A62C92">
            <w:pPr>
              <w:tabs>
                <w:tab w:val="left" w:pos="0"/>
                <w:tab w:val="left" w:pos="1764"/>
                <w:tab w:val="left" w:pos="2772"/>
                <w:tab w:val="left" w:pos="3600"/>
              </w:tabs>
              <w:suppressAutoHyphens/>
              <w:spacing w:line="244" w:lineRule="exact"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El sobre de la oferta deberá contener: </w:t>
            </w:r>
          </w:p>
          <w:p w14:paraId="2D4BC857" w14:textId="77777777" w:rsidR="00546287" w:rsidRPr="008B0C34" w:rsidRDefault="00546287" w:rsidP="00A62C92">
            <w:pPr>
              <w:tabs>
                <w:tab w:val="left" w:pos="720"/>
                <w:tab w:val="left" w:pos="756"/>
                <w:tab w:val="left" w:pos="1260"/>
                <w:tab w:val="left" w:pos="1764"/>
                <w:tab w:val="left" w:pos="2772"/>
                <w:tab w:val="left" w:pos="3600"/>
              </w:tabs>
              <w:suppressAutoHyphens/>
              <w:spacing w:line="244" w:lineRule="exact"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4F517AE2" w14:textId="77777777" w:rsidR="00546287" w:rsidRDefault="00B8424E" w:rsidP="00B8424E">
            <w:pPr>
              <w:pStyle w:val="Sangradetextonormal"/>
              <w:numPr>
                <w:ilvl w:val="0"/>
                <w:numId w:val="9"/>
              </w:numPr>
              <w:tabs>
                <w:tab w:val="left" w:pos="450"/>
                <w:tab w:val="left" w:pos="720"/>
              </w:tabs>
              <w:rPr>
                <w:rFonts w:ascii="Arial Narrow" w:hAnsi="Arial Narrow" w:cs="Tahoma"/>
                <w:sz w:val="20"/>
                <w:szCs w:val="20"/>
                <w:lang w:val="es-ES"/>
              </w:rPr>
            </w:pPr>
            <w:r>
              <w:rPr>
                <w:rFonts w:ascii="Arial Narrow" w:hAnsi="Arial Narrow" w:cs="Tahoma"/>
                <w:sz w:val="20"/>
                <w:szCs w:val="20"/>
                <w:lang w:val="es-ES"/>
              </w:rPr>
              <w:t>Formulario No. 1 ( Carta de Adhesión)</w:t>
            </w:r>
            <w:r w:rsidR="00546287"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</w:t>
            </w:r>
          </w:p>
          <w:p w14:paraId="03E422AC" w14:textId="77777777" w:rsidR="00546287" w:rsidRPr="00B8424E" w:rsidRDefault="00B8424E" w:rsidP="00B8424E">
            <w:pPr>
              <w:pStyle w:val="Sangradetextonormal"/>
              <w:numPr>
                <w:ilvl w:val="0"/>
                <w:numId w:val="9"/>
              </w:numPr>
              <w:tabs>
                <w:tab w:val="left" w:pos="450"/>
                <w:tab w:val="left" w:pos="720"/>
              </w:tabs>
              <w:rPr>
                <w:rFonts w:ascii="Arial Narrow" w:hAnsi="Arial Narrow" w:cs="Tahoma"/>
                <w:sz w:val="20"/>
                <w:szCs w:val="20"/>
                <w:lang w:val="es-ES"/>
              </w:rPr>
            </w:pPr>
            <w:r>
              <w:rPr>
                <w:rFonts w:ascii="Arial Narrow" w:hAnsi="Arial Narrow" w:cs="Tahoma"/>
                <w:sz w:val="20"/>
                <w:szCs w:val="20"/>
                <w:lang w:val="es-ES"/>
              </w:rPr>
              <w:t>Formulario No. 2 ( Oferta Económica)</w:t>
            </w:r>
          </w:p>
          <w:p w14:paraId="6212C98B" w14:textId="77777777" w:rsidR="00546287" w:rsidRPr="008B0C34" w:rsidRDefault="00546287" w:rsidP="00B8424E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No se aceptarán excepcio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nes, con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diciones o modificaciones a los documentos precontractuales, ni bienes</w:t>
            </w:r>
            <w:r w:rsidR="00B8424E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,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="00B8424E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obras 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o servicios que no cumplan las especificaciones</w:t>
            </w:r>
            <w:r w:rsidR="004E789A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técnicas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. El incumplimiento de esto será causa de rechazo de la Oferta.</w:t>
            </w:r>
          </w:p>
          <w:p w14:paraId="05CAC805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_tradnl"/>
              </w:rPr>
            </w:pPr>
          </w:p>
          <w:p w14:paraId="4F681838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/>
                <w:bCs/>
                <w:sz w:val="20"/>
                <w:szCs w:val="20"/>
                <w:u w:val="single"/>
              </w:rPr>
            </w:pPr>
            <w:r w:rsidRPr="008B0C34">
              <w:rPr>
                <w:rFonts w:ascii="Arial Narrow" w:hAnsi="Arial Narrow" w:cs="Tahoma"/>
                <w:b/>
                <w:bCs/>
                <w:sz w:val="20"/>
                <w:szCs w:val="20"/>
                <w:u w:val="single"/>
              </w:rPr>
              <w:t>Apertura de los sobres de las Ofertas:</w:t>
            </w:r>
          </w:p>
          <w:p w14:paraId="67760338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14:paraId="3566643F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Cumplido el plazo máximo para la presentación de ofertas, y en el lugar y </w:t>
            </w:r>
            <w:r w:rsidR="00B8424E">
              <w:rPr>
                <w:rFonts w:ascii="Arial Narrow" w:hAnsi="Arial Narrow" w:cs="Tahoma"/>
                <w:bCs/>
                <w:sz w:val="20"/>
                <w:szCs w:val="20"/>
              </w:rPr>
              <w:t xml:space="preserve">la hora señalados en la invitación, 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el </w:t>
            </w:r>
            <w:r w:rsidR="00B8424E" w:rsidRPr="004E789A">
              <w:rPr>
                <w:rFonts w:ascii="Arial Narrow" w:hAnsi="Arial Narrow" w:cs="Tahoma"/>
                <w:b/>
                <w:bCs/>
                <w:sz w:val="20"/>
                <w:szCs w:val="20"/>
              </w:rPr>
              <w:t>Comisión Técnica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 procederá en acto público a la apertura de los sobres que contengan las ofertas presentadas; a este acto podrán asistir los representantes de los </w:t>
            </w:r>
            <w:r w:rsidRPr="008B0C34"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Oferentes </w:t>
            </w:r>
            <w:r w:rsidRPr="008B0C34">
              <w:rPr>
                <w:rFonts w:ascii="Arial Narrow" w:hAnsi="Arial Narrow" w:cs="Tahoma"/>
                <w:bCs/>
                <w:sz w:val="20"/>
                <w:szCs w:val="20"/>
              </w:rPr>
              <w:t>que lo desearen.</w:t>
            </w:r>
          </w:p>
          <w:p w14:paraId="342083C1" w14:textId="77777777" w:rsidR="00546287" w:rsidRPr="004E789A" w:rsidRDefault="00546287" w:rsidP="00A62C92">
            <w:pPr>
              <w:jc w:val="both"/>
              <w:rPr>
                <w:rFonts w:ascii="Arial Narrow" w:hAnsi="Arial Narrow" w:cs="Tahoma"/>
                <w:sz w:val="10"/>
                <w:szCs w:val="20"/>
              </w:rPr>
            </w:pPr>
          </w:p>
          <w:p w14:paraId="5E6B45CC" w14:textId="77777777" w:rsidR="00546287" w:rsidRPr="008B0C34" w:rsidRDefault="00546287" w:rsidP="00B8424E">
            <w:pPr>
              <w:tabs>
                <w:tab w:val="left" w:pos="0"/>
                <w:tab w:val="left" w:pos="1764"/>
                <w:tab w:val="left" w:pos="2772"/>
                <w:tab w:val="left" w:pos="3600"/>
              </w:tabs>
              <w:suppressAutoHyphens/>
              <w:spacing w:line="244" w:lineRule="exact"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De lo actuado se dejará constancia en la correspondiente Acta de Apertura de las Ofertas</w:t>
            </w:r>
            <w:r w:rsidR="00B8424E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. </w:t>
            </w:r>
          </w:p>
          <w:p w14:paraId="54619646" w14:textId="77777777" w:rsidR="004E789A" w:rsidRPr="004E789A" w:rsidRDefault="004E789A" w:rsidP="00A62C92">
            <w:pPr>
              <w:pStyle w:val="Sangradetextonormal"/>
              <w:tabs>
                <w:tab w:val="left" w:pos="0"/>
                <w:tab w:val="left" w:pos="4050"/>
              </w:tabs>
              <w:ind w:left="0"/>
              <w:rPr>
                <w:rFonts w:ascii="Arial Narrow" w:hAnsi="Arial Narrow"/>
                <w:sz w:val="6"/>
                <w:szCs w:val="20"/>
                <w:lang w:val="es-ES_tradnl"/>
              </w:rPr>
            </w:pPr>
          </w:p>
          <w:p w14:paraId="3ECEDC3D" w14:textId="77777777" w:rsidR="00546287" w:rsidRPr="008B0C34" w:rsidRDefault="00546287" w:rsidP="00A62C92">
            <w:pPr>
              <w:pStyle w:val="Sangradetextonormal"/>
              <w:tabs>
                <w:tab w:val="left" w:pos="0"/>
                <w:tab w:val="left" w:pos="4050"/>
              </w:tabs>
              <w:ind w:left="0"/>
              <w:rPr>
                <w:rFonts w:ascii="Arial Narrow" w:hAnsi="Arial Narrow" w:cs="Tahoma"/>
                <w:sz w:val="20"/>
                <w:szCs w:val="20"/>
                <w:lang w:val="es-ES"/>
              </w:rPr>
            </w:pP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>Para el análisis</w:t>
            </w:r>
            <w:r w:rsidR="00B8424E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y evaluación de las ofertas </w:t>
            </w:r>
            <w:r w:rsidRPr="008B0C34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</w:t>
            </w:r>
            <w:r w:rsidR="00B8424E">
              <w:rPr>
                <w:rFonts w:ascii="Arial Narrow" w:hAnsi="Arial Narrow" w:cs="Tahoma"/>
                <w:sz w:val="20"/>
                <w:szCs w:val="20"/>
                <w:lang w:val="es-ES"/>
              </w:rPr>
              <w:t>la Comisión Técnica, verificará que</w:t>
            </w:r>
            <w:r w:rsidR="006D111D">
              <w:rPr>
                <w:rFonts w:ascii="Arial Narrow" w:hAnsi="Arial Narrow" w:cs="Tahoma"/>
                <w:sz w:val="20"/>
                <w:szCs w:val="20"/>
                <w:lang w:val="es-ES"/>
              </w:rPr>
              <w:t xml:space="preserve"> el Formulario No. 1 (Carta de Adhesión) se encuentre debidamente firmado, y realizará un cuadro comparativo de las ofertas económicas presentadas.  </w:t>
            </w:r>
          </w:p>
          <w:p w14:paraId="20E3DDB7" w14:textId="77777777" w:rsidR="00546287" w:rsidRPr="004E789A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6"/>
                <w:szCs w:val="20"/>
                <w:lang w:val="es-ES_tradnl"/>
              </w:rPr>
            </w:pPr>
          </w:p>
          <w:p w14:paraId="60BD68E1" w14:textId="77777777" w:rsidR="00271CA5" w:rsidRDefault="00546287" w:rsidP="006D111D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Una vez concluido el análisis y evaluación de las ofertas, la </w:t>
            </w:r>
            <w:r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Comisión Técnica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entregará al </w:t>
            </w:r>
            <w:r w:rsidR="006D111D" w:rsidRPr="007B4E51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Gerente General</w:t>
            </w:r>
            <w:r w:rsidR="006D111D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el correspondiente Informe, </w:t>
            </w:r>
            <w:r w:rsidR="009F3EC6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con la recomendación de</w:t>
            </w:r>
            <w:r w:rsidR="006D111D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adjudicación del </w:t>
            </w:r>
            <w:r w:rsidR="006D111D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proceso al Oferente que </w:t>
            </w:r>
            <w:r w:rsidR="00803A9C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cumpla sustancialmente con los requisitos solicitados y que </w:t>
            </w:r>
            <w:r w:rsidR="009F3EC6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ofert</w:t>
            </w:r>
            <w:r w:rsidR="00803A9C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ó</w:t>
            </w:r>
            <w:r w:rsidR="009F3EC6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el precio más bajo</w:t>
            </w:r>
            <w:r w:rsidR="00673498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.</w:t>
            </w:r>
            <w:r w:rsidR="009F3EC6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</w:p>
          <w:p w14:paraId="5D6D70CE" w14:textId="77777777" w:rsidR="00271CA5" w:rsidRDefault="00271CA5" w:rsidP="006D111D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4A8D6C59" w14:textId="77777777" w:rsidR="00546287" w:rsidRPr="008B0C34" w:rsidRDefault="00673498" w:rsidP="006D111D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z w:val="20"/>
                <w:szCs w:val="20"/>
                <w:lang w:val="es-ES"/>
              </w:rPr>
            </w:pPr>
            <w:r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La </w:t>
            </w:r>
            <w:r w:rsidRPr="00271CA5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Comisión Técnica</w:t>
            </w:r>
            <w:r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, podrá cuando el caso lo amerite, recomendar </w:t>
            </w:r>
            <w:r w:rsidR="009F3EC6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la declaratoria de desierto, </w:t>
            </w:r>
            <w:r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del proceso</w:t>
            </w:r>
            <w:r w:rsidR="009F3EC6" w:rsidRPr="00271CA5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.</w:t>
            </w:r>
          </w:p>
          <w:p w14:paraId="2E82602F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"/>
              </w:rPr>
            </w:pPr>
          </w:p>
          <w:p w14:paraId="5AB0BA59" w14:textId="77777777" w:rsidR="00546287" w:rsidRPr="008B0C34" w:rsidRDefault="007B4E51" w:rsidP="00A62C92">
            <w:pPr>
              <w:tabs>
                <w:tab w:val="left" w:pos="0"/>
                <w:tab w:val="left" w:pos="1260"/>
                <w:tab w:val="left" w:pos="1764"/>
                <w:tab w:val="left" w:pos="2772"/>
                <w:tab w:val="left" w:pos="3600"/>
              </w:tabs>
              <w:suppressAutoHyphens/>
              <w:spacing w:line="244" w:lineRule="exact"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Tahoma"/>
                <w:spacing w:val="-2"/>
                <w:sz w:val="20"/>
                <w:szCs w:val="20"/>
                <w:lang w:val="es-ES"/>
              </w:rPr>
              <w:t>La</w:t>
            </w:r>
            <w:r w:rsidR="00546287" w:rsidRPr="008B0C34">
              <w:rPr>
                <w:rFonts w:ascii="Arial Narrow" w:hAnsi="Arial Narrow" w:cs="Tahoma"/>
                <w:spacing w:val="-2"/>
                <w:sz w:val="20"/>
                <w:szCs w:val="20"/>
                <w:lang w:val="es-ES_tradnl"/>
              </w:rPr>
              <w:t xml:space="preserve"> </w:t>
            </w:r>
            <w:r w:rsidR="006D111D">
              <w:rPr>
                <w:rFonts w:ascii="Arial Narrow" w:hAnsi="Arial Narrow" w:cs="Tahoma"/>
                <w:b/>
                <w:spacing w:val="-2"/>
                <w:sz w:val="20"/>
                <w:szCs w:val="20"/>
                <w:lang w:val="es-ES_tradnl"/>
              </w:rPr>
              <w:t>Comisión Técnica</w:t>
            </w:r>
            <w:r w:rsidR="00546287" w:rsidRPr="008B0C34">
              <w:rPr>
                <w:rFonts w:ascii="Arial Narrow" w:hAnsi="Arial Narrow" w:cs="Tahoma"/>
                <w:spacing w:val="-2"/>
                <w:sz w:val="20"/>
                <w:szCs w:val="20"/>
                <w:lang w:val="es-ES_tradnl"/>
              </w:rPr>
              <w:t xml:space="preserve"> 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podrá rechazar todas las ofertas cuando ninguna de ellas se ajuste a los documentos precontractuales, no se hubiesen ofrecido precios convenientes o cuando sea evidente que ha habido falta de competencia o colusión. </w:t>
            </w:r>
          </w:p>
          <w:p w14:paraId="48E9C8EA" w14:textId="77777777" w:rsidR="00546287" w:rsidRPr="004E789A" w:rsidRDefault="00546287" w:rsidP="00A62C92">
            <w:pPr>
              <w:tabs>
                <w:tab w:val="left" w:pos="0"/>
                <w:tab w:val="left" w:pos="1260"/>
                <w:tab w:val="left" w:pos="1764"/>
                <w:tab w:val="left" w:pos="2772"/>
                <w:tab w:val="left" w:pos="3600"/>
              </w:tabs>
              <w:suppressAutoHyphens/>
              <w:spacing w:line="244" w:lineRule="exact"/>
              <w:jc w:val="both"/>
              <w:rPr>
                <w:rFonts w:ascii="Arial Narrow" w:hAnsi="Arial Narrow" w:cs="Tahoma"/>
                <w:spacing w:val="-3"/>
                <w:sz w:val="8"/>
                <w:szCs w:val="20"/>
                <w:lang w:val="es-ES_tradnl"/>
              </w:rPr>
            </w:pPr>
          </w:p>
          <w:p w14:paraId="4BCD9804" w14:textId="77777777" w:rsidR="00546287" w:rsidRPr="008B0C34" w:rsidRDefault="00546287" w:rsidP="00A62C92">
            <w:pPr>
              <w:tabs>
                <w:tab w:val="left" w:pos="0"/>
                <w:tab w:val="left" w:pos="1260"/>
                <w:tab w:val="left" w:pos="1764"/>
                <w:tab w:val="left" w:pos="2772"/>
                <w:tab w:val="left" w:pos="3600"/>
              </w:tabs>
              <w:suppressAutoHyphens/>
              <w:spacing w:line="244" w:lineRule="exact"/>
              <w:jc w:val="both"/>
              <w:rPr>
                <w:rFonts w:ascii="Arial Narrow" w:hAnsi="Arial Narrow" w:cs="Tahoma"/>
                <w:spacing w:val="-2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El </w:t>
            </w:r>
            <w:r w:rsidR="006D111D">
              <w:rPr>
                <w:rFonts w:ascii="Arial Narrow" w:hAnsi="Arial Narrow" w:cs="Tahoma"/>
                <w:b/>
                <w:spacing w:val="-2"/>
                <w:sz w:val="20"/>
                <w:szCs w:val="20"/>
                <w:lang w:val="es-ES_tradnl"/>
              </w:rPr>
              <w:t>Comisión Técnica</w:t>
            </w:r>
            <w:r w:rsidR="006D111D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podrá 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rechazar todas las ofertas, si </w:t>
            </w:r>
            <w:r w:rsidR="009F3EC6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estas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son considerablemente su</w:t>
            </w:r>
            <w:r w:rsidR="004E789A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periores al presupuesto referencial.</w:t>
            </w:r>
          </w:p>
          <w:p w14:paraId="294DB795" w14:textId="77777777" w:rsidR="00546287" w:rsidRPr="008B0C34" w:rsidRDefault="00546287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  <w:lang w:val="es-ES_tradnl"/>
              </w:rPr>
            </w:pPr>
          </w:p>
          <w:p w14:paraId="258898B6" w14:textId="2B924FB2" w:rsidR="00546287" w:rsidRPr="008B0C34" w:rsidRDefault="006D111D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7B4E51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El Informe de la</w:t>
            </w:r>
            <w:r w:rsidRPr="009F3EC6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 xml:space="preserve"> Comisión Técnica </w:t>
            </w:r>
            <w:r w:rsidR="00546287" w:rsidRPr="009F3EC6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será enviado por parte de la </w:t>
            </w:r>
            <w:r w:rsidR="00546287" w:rsidRPr="009F3EC6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Gerencia General</w:t>
            </w:r>
            <w:r w:rsidR="00546287" w:rsidRPr="009F3EC6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para el  pronunciamiento respectivo </w:t>
            </w:r>
            <w:r w:rsidR="00F33992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a la UCP-MF</w:t>
            </w:r>
            <w:r w:rsidR="00546287" w:rsidRPr="009F3EC6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antes de efectuar la adjudi</w:t>
            </w:r>
            <w:r w:rsidR="00546287" w:rsidRPr="009F3EC6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cación.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</w:p>
          <w:p w14:paraId="04573FD5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22388D52" w14:textId="48D374CE" w:rsidR="00546287" w:rsidRPr="008B0C34" w:rsidRDefault="00546287" w:rsidP="00A62C92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Una</w:t>
            </w:r>
            <w:r w:rsidR="006D111D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vez recibida la </w:t>
            </w:r>
            <w:r w:rsidR="00F33992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conformidad de la UCP-MF</w:t>
            </w:r>
            <w:r w:rsidR="00A86B0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al proce</w:t>
            </w:r>
            <w:r w:rsidR="006D111D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so </w:t>
            </w:r>
            <w:r w:rsidR="004E789A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pre</w:t>
            </w:r>
            <w:r w:rsidR="00A86B0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contractual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, la </w:t>
            </w:r>
            <w:r w:rsidRPr="00C818B6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Gerencia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C818B6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General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="006D111D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procederá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a la adjudicación del contrato.</w:t>
            </w:r>
          </w:p>
          <w:p w14:paraId="6E924C71" w14:textId="77777777" w:rsidR="00546287" w:rsidRPr="008B0C34" w:rsidRDefault="00546287" w:rsidP="006D111D">
            <w:pPr>
              <w:tabs>
                <w:tab w:val="left" w:pos="0"/>
                <w:tab w:val="left" w:pos="72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ab/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ab/>
            </w:r>
          </w:p>
          <w:p w14:paraId="7D8B7A17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u w:val="single"/>
                <w:lang w:val="es-ES_tradnl"/>
              </w:rPr>
              <w:lastRenderedPageBreak/>
              <w:t>Oferta única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:</w:t>
            </w:r>
          </w:p>
          <w:p w14:paraId="6AD7CC0C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73BBE6C3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Si se pre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sen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tara una sola oferta, se pro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ce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de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rá a su evaluación y si re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sul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tase conve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niente a los intere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ses nacionales e instituciona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 xml:space="preserve">les, el </w:t>
            </w:r>
            <w:r w:rsidR="006D111D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Comisión Técnica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procederá como se </w:t>
            </w:r>
            <w:r w:rsidR="006D111D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indica en párrafos anteriores</w:t>
            </w:r>
            <w:r w:rsidR="004E789A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.</w:t>
            </w:r>
          </w:p>
          <w:p w14:paraId="0A90B12B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</w:pPr>
          </w:p>
          <w:p w14:paraId="6BE96881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u w:val="single"/>
                <w:lang w:val="es-ES_tradnl"/>
              </w:rPr>
            </w:pPr>
            <w:r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u w:val="single"/>
                <w:lang w:val="es-ES_tradnl"/>
              </w:rPr>
              <w:t>Modificación de la Adjudi</w:t>
            </w:r>
            <w:r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u w:val="single"/>
                <w:lang w:val="es-ES_tradnl"/>
              </w:rPr>
              <w:softHyphen/>
              <w:t>cación: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u w:val="single"/>
                <w:lang w:val="es-ES_tradnl"/>
              </w:rPr>
              <w:t xml:space="preserve"> </w:t>
            </w:r>
          </w:p>
          <w:p w14:paraId="745B0B4E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63CDA5A5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Si por cualquier circuns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tancia el no firma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 xml:space="preserve">se el contrato el </w:t>
            </w:r>
            <w:r w:rsidR="004D32C3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Gerente General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po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 xml:space="preserve">drá, sin llamar </w:t>
            </w:r>
            <w:r w:rsidR="004E789A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a  nuevo concurso, previo pronunciamiento del </w:t>
            </w:r>
            <w:r w:rsidR="004D32C3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Banco Mundial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, adjudicarlo a</w:t>
            </w:r>
            <w:r w:rsidR="004D32C3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l siguiente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Oferente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en el orden de prelación resultante de la evaluación de las o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fer</w:t>
            </w:r>
            <w:r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softHyphen/>
              <w:t>tas.</w:t>
            </w:r>
          </w:p>
          <w:p w14:paraId="6358A3F3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</w:pPr>
          </w:p>
          <w:p w14:paraId="5A968887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b/>
                <w:spacing w:val="-3"/>
                <w:sz w:val="20"/>
                <w:szCs w:val="20"/>
                <w:u w:val="single"/>
                <w:lang w:val="es-ES_tradnl"/>
              </w:rPr>
            </w:pPr>
            <w:r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u w:val="single"/>
                <w:lang w:val="es-ES_tradnl"/>
              </w:rPr>
              <w:t>Celebración del contrato:</w:t>
            </w:r>
          </w:p>
          <w:p w14:paraId="5C00886B" w14:textId="7334D21B" w:rsidR="00546287" w:rsidRPr="008B0C34" w:rsidRDefault="00A86B09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</w:t>
            </w:r>
          </w:p>
          <w:p w14:paraId="1B7E67DC" w14:textId="77777777" w:rsidR="00546287" w:rsidRPr="008B0C34" w:rsidRDefault="004E789A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Inmediatamente de notificada </w:t>
            </w:r>
            <w:r w:rsidR="00F44DD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la Resolución de Adjudicación, 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las partes procederán a la celebración del con</w:t>
            </w:r>
            <w:r w:rsidR="00F44DD9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trato elaborado por la </w:t>
            </w:r>
            <w:r w:rsidR="00F44DD9" w:rsidRPr="00C818B6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Gerencia</w:t>
            </w:r>
            <w:r w:rsidR="00546287" w:rsidRPr="00C818B6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 xml:space="preserve"> de Asesoría Jurídica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.</w:t>
            </w:r>
          </w:p>
          <w:p w14:paraId="5B63277B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05EE7B3E" w14:textId="77777777" w:rsidR="00546287" w:rsidRPr="008B0C34" w:rsidRDefault="00F44DD9" w:rsidP="00A62C92">
            <w:pPr>
              <w:tabs>
                <w:tab w:val="left" w:pos="0"/>
              </w:tabs>
              <w:suppressAutoHyphens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En el contrato suscrito por las partes, se deberá estipular el tiempo en el que </w:t>
            </w:r>
            <w:r w:rsidR="004E789A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el </w:t>
            </w: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Contratista </w:t>
            </w:r>
            <w:r w:rsidR="004E789A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deberá entregar</w:t>
            </w: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 las 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garantías </w:t>
            </w:r>
            <w:r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correspondientes </w:t>
            </w:r>
            <w:r w:rsidR="00546287" w:rsidRPr="008B0C34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 xml:space="preserve">en la </w:t>
            </w:r>
            <w:r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>Gerencia</w:t>
            </w:r>
            <w:r w:rsidR="00546287" w:rsidRPr="008B0C34">
              <w:rPr>
                <w:rFonts w:ascii="Arial Narrow" w:hAnsi="Arial Narrow" w:cs="Tahoma"/>
                <w:b/>
                <w:spacing w:val="-3"/>
                <w:sz w:val="20"/>
                <w:szCs w:val="20"/>
                <w:lang w:val="es-ES_tradnl"/>
              </w:rPr>
              <w:t xml:space="preserve"> de Asesoría Jurídica</w:t>
            </w:r>
            <w:r w:rsidR="009F3EC6"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  <w:t>, para la revisión correspondiente.</w:t>
            </w:r>
          </w:p>
          <w:p w14:paraId="28FAC008" w14:textId="77777777" w:rsidR="00546287" w:rsidRPr="008B0C34" w:rsidRDefault="00546287" w:rsidP="00A62C92">
            <w:pPr>
              <w:tabs>
                <w:tab w:val="left" w:pos="0"/>
              </w:tabs>
              <w:suppressAutoHyphens/>
              <w:ind w:left="720" w:hanging="720"/>
              <w:jc w:val="both"/>
              <w:rPr>
                <w:rFonts w:ascii="Arial Narrow" w:hAnsi="Arial Narrow" w:cs="Tahoma"/>
                <w:spacing w:val="-3"/>
                <w:sz w:val="20"/>
                <w:szCs w:val="20"/>
                <w:lang w:val="es-ES_tradnl"/>
              </w:rPr>
            </w:pPr>
          </w:p>
          <w:p w14:paraId="36A5C9D3" w14:textId="6C9BFB82" w:rsidR="00546287" w:rsidRPr="008B0C34" w:rsidRDefault="00A86B09" w:rsidP="00A62C92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Por ser una contratación de recuperación inmediata, solo cuando ya se ha suscrito el contrato, 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La </w:t>
            </w:r>
            <w:r w:rsidR="00546287" w:rsidRPr="00C818B6">
              <w:rPr>
                <w:rFonts w:ascii="Arial Narrow" w:hAnsi="Arial Narrow" w:cs="Tahoma"/>
                <w:b/>
                <w:bCs/>
                <w:sz w:val="20"/>
                <w:szCs w:val="20"/>
              </w:rPr>
              <w:t>Gerencia General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 xml:space="preserve"> remitirá las copias del </w:t>
            </w:r>
            <w:r w:rsidR="00F44DD9">
              <w:rPr>
                <w:rFonts w:ascii="Arial Narrow" w:hAnsi="Arial Narrow" w:cs="Tahoma"/>
                <w:bCs/>
                <w:sz w:val="20"/>
                <w:szCs w:val="20"/>
              </w:rPr>
              <w:t>contrato</w:t>
            </w:r>
            <w:r>
              <w:rPr>
                <w:rFonts w:ascii="Arial Narrow" w:hAnsi="Arial Narrow" w:cs="Tahoma"/>
                <w:bCs/>
                <w:sz w:val="20"/>
                <w:szCs w:val="20"/>
              </w:rPr>
              <w:t xml:space="preserve"> y demás documentación soporte</w:t>
            </w:r>
            <w:r w:rsidR="00F44DD9">
              <w:rPr>
                <w:rFonts w:ascii="Arial Narrow" w:hAnsi="Arial Narrow" w:cs="Tahoma"/>
                <w:bCs/>
                <w:sz w:val="20"/>
                <w:szCs w:val="20"/>
              </w:rPr>
              <w:t xml:space="preserve"> hacia </w:t>
            </w:r>
            <w:r w:rsidR="00F33992">
              <w:rPr>
                <w:rFonts w:ascii="Arial Narrow" w:hAnsi="Arial Narrow" w:cs="Tahoma"/>
                <w:bCs/>
                <w:sz w:val="20"/>
                <w:szCs w:val="20"/>
              </w:rPr>
              <w:t>la UCP-MF, para que esta Unidad envíe</w:t>
            </w:r>
            <w:r w:rsidR="00F44DD9">
              <w:rPr>
                <w:rFonts w:ascii="Arial Narrow" w:hAnsi="Arial Narrow" w:cs="Tahoma"/>
                <w:bCs/>
                <w:sz w:val="20"/>
                <w:szCs w:val="20"/>
              </w:rPr>
              <w:t xml:space="preserve"> </w:t>
            </w:r>
            <w:r w:rsidR="00F33992">
              <w:rPr>
                <w:rFonts w:ascii="Arial Narrow" w:hAnsi="Arial Narrow" w:cs="Tahoma"/>
                <w:bCs/>
                <w:sz w:val="20"/>
                <w:szCs w:val="20"/>
              </w:rPr>
              <w:t xml:space="preserve">al </w:t>
            </w:r>
            <w:r w:rsidR="00F44DD9" w:rsidRPr="00C818B6">
              <w:rPr>
                <w:rFonts w:ascii="Arial Narrow" w:hAnsi="Arial Narrow" w:cs="Tahoma"/>
                <w:b/>
                <w:bCs/>
                <w:sz w:val="20"/>
                <w:szCs w:val="20"/>
              </w:rPr>
              <w:t>Banco Mundial</w:t>
            </w:r>
            <w:r w:rsidR="00546287" w:rsidRPr="008B0C34">
              <w:rPr>
                <w:rFonts w:ascii="Arial Narrow" w:hAnsi="Arial Narrow" w:cs="Tahoma"/>
                <w:bCs/>
                <w:sz w:val="20"/>
                <w:szCs w:val="20"/>
              </w:rPr>
              <w:t>, con fines de conocimiento y control.</w:t>
            </w:r>
          </w:p>
          <w:p w14:paraId="113C721B" w14:textId="77777777" w:rsidR="00546287" w:rsidRPr="008B0C34" w:rsidRDefault="00546287" w:rsidP="00F44DD9">
            <w:pPr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</w:tc>
      </w:tr>
    </w:tbl>
    <w:p w14:paraId="242C3B6D" w14:textId="77777777" w:rsidR="00546287" w:rsidRPr="008B0C34" w:rsidRDefault="00546287" w:rsidP="00546287">
      <w:pPr>
        <w:tabs>
          <w:tab w:val="left" w:pos="6030"/>
        </w:tabs>
        <w:rPr>
          <w:rFonts w:ascii="Arial Narrow" w:hAnsi="Arial Narrow"/>
          <w:sz w:val="20"/>
          <w:szCs w:val="20"/>
        </w:rPr>
      </w:pPr>
    </w:p>
    <w:p w14:paraId="4FF0803D" w14:textId="4C6D5CC1" w:rsidR="0016370F" w:rsidRDefault="0016370F">
      <w:pPr>
        <w:spacing w:after="200" w:line="276" w:lineRule="auto"/>
      </w:pPr>
    </w:p>
    <w:sectPr w:rsidR="001637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962"/>
    <w:multiLevelType w:val="hybridMultilevel"/>
    <w:tmpl w:val="DC183DE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62F3"/>
    <w:multiLevelType w:val="hybridMultilevel"/>
    <w:tmpl w:val="7A7ED9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383D3D"/>
    <w:multiLevelType w:val="hybridMultilevel"/>
    <w:tmpl w:val="181894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BE1D7B"/>
    <w:multiLevelType w:val="hybridMultilevel"/>
    <w:tmpl w:val="01D6A7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EF64F4"/>
    <w:multiLevelType w:val="hybridMultilevel"/>
    <w:tmpl w:val="11EA9808"/>
    <w:lvl w:ilvl="0" w:tplc="A18A95BE">
      <w:start w:val="5"/>
      <w:numFmt w:val="decimal"/>
      <w:lvlText w:val="%1.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abstractNum w:abstractNumId="5">
    <w:nsid w:val="33917A21"/>
    <w:multiLevelType w:val="hybridMultilevel"/>
    <w:tmpl w:val="2AAC6C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7071AB"/>
    <w:multiLevelType w:val="hybridMultilevel"/>
    <w:tmpl w:val="BEAA07C8"/>
    <w:lvl w:ilvl="0" w:tplc="08E472E2">
      <w:start w:val="1"/>
      <w:numFmt w:val="lowerLetter"/>
      <w:lvlText w:val="(%1)"/>
      <w:lvlJc w:val="left"/>
      <w:pPr>
        <w:tabs>
          <w:tab w:val="num" w:pos="1578"/>
        </w:tabs>
        <w:ind w:left="1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</w:lvl>
  </w:abstractNum>
  <w:abstractNum w:abstractNumId="7">
    <w:nsid w:val="525B2DA9"/>
    <w:multiLevelType w:val="hybridMultilevel"/>
    <w:tmpl w:val="EABE0B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9F5F68"/>
    <w:multiLevelType w:val="hybridMultilevel"/>
    <w:tmpl w:val="B7B672EE"/>
    <w:lvl w:ilvl="0" w:tplc="0C0A0013">
      <w:start w:val="1"/>
      <w:numFmt w:val="upperRoman"/>
      <w:lvlText w:val="%1."/>
      <w:lvlJc w:val="right"/>
      <w:pPr>
        <w:tabs>
          <w:tab w:val="num" w:pos="1908"/>
        </w:tabs>
        <w:ind w:left="1908" w:hanging="180"/>
      </w:pPr>
      <w:rPr>
        <w:rFonts w:hint="default"/>
      </w:rPr>
    </w:lvl>
    <w:lvl w:ilvl="1" w:tplc="9CF00AA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2C1933"/>
    <w:multiLevelType w:val="hybridMultilevel"/>
    <w:tmpl w:val="146244A6"/>
    <w:lvl w:ilvl="0" w:tplc="5F885B68">
      <w:start w:val="1"/>
      <w:numFmt w:val="decimal"/>
      <w:lvlText w:val="%1."/>
      <w:lvlJc w:val="left"/>
      <w:pPr>
        <w:ind w:left="1260" w:hanging="63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10" w:hanging="360"/>
      </w:pPr>
    </w:lvl>
    <w:lvl w:ilvl="2" w:tplc="300A001B" w:tentative="1">
      <w:start w:val="1"/>
      <w:numFmt w:val="lowerRoman"/>
      <w:lvlText w:val="%3."/>
      <w:lvlJc w:val="right"/>
      <w:pPr>
        <w:ind w:left="2430" w:hanging="180"/>
      </w:pPr>
    </w:lvl>
    <w:lvl w:ilvl="3" w:tplc="300A000F" w:tentative="1">
      <w:start w:val="1"/>
      <w:numFmt w:val="decimal"/>
      <w:lvlText w:val="%4."/>
      <w:lvlJc w:val="left"/>
      <w:pPr>
        <w:ind w:left="3150" w:hanging="360"/>
      </w:pPr>
    </w:lvl>
    <w:lvl w:ilvl="4" w:tplc="300A0019" w:tentative="1">
      <w:start w:val="1"/>
      <w:numFmt w:val="lowerLetter"/>
      <w:lvlText w:val="%5."/>
      <w:lvlJc w:val="left"/>
      <w:pPr>
        <w:ind w:left="3870" w:hanging="360"/>
      </w:pPr>
    </w:lvl>
    <w:lvl w:ilvl="5" w:tplc="300A001B" w:tentative="1">
      <w:start w:val="1"/>
      <w:numFmt w:val="lowerRoman"/>
      <w:lvlText w:val="%6."/>
      <w:lvlJc w:val="right"/>
      <w:pPr>
        <w:ind w:left="4590" w:hanging="180"/>
      </w:pPr>
    </w:lvl>
    <w:lvl w:ilvl="6" w:tplc="300A000F" w:tentative="1">
      <w:start w:val="1"/>
      <w:numFmt w:val="decimal"/>
      <w:lvlText w:val="%7."/>
      <w:lvlJc w:val="left"/>
      <w:pPr>
        <w:ind w:left="5310" w:hanging="360"/>
      </w:pPr>
    </w:lvl>
    <w:lvl w:ilvl="7" w:tplc="300A0019" w:tentative="1">
      <w:start w:val="1"/>
      <w:numFmt w:val="lowerLetter"/>
      <w:lvlText w:val="%8."/>
      <w:lvlJc w:val="left"/>
      <w:pPr>
        <w:ind w:left="6030" w:hanging="360"/>
      </w:pPr>
    </w:lvl>
    <w:lvl w:ilvl="8" w:tplc="300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87"/>
    <w:rsid w:val="0016370F"/>
    <w:rsid w:val="001D3F9B"/>
    <w:rsid w:val="00227301"/>
    <w:rsid w:val="00271CA5"/>
    <w:rsid w:val="00391DE6"/>
    <w:rsid w:val="003C6513"/>
    <w:rsid w:val="00407354"/>
    <w:rsid w:val="00436076"/>
    <w:rsid w:val="004D32C3"/>
    <w:rsid w:val="004E789A"/>
    <w:rsid w:val="00524D32"/>
    <w:rsid w:val="00546287"/>
    <w:rsid w:val="00553332"/>
    <w:rsid w:val="005902B7"/>
    <w:rsid w:val="00601AC2"/>
    <w:rsid w:val="006709A0"/>
    <w:rsid w:val="00673498"/>
    <w:rsid w:val="00690050"/>
    <w:rsid w:val="006D06EC"/>
    <w:rsid w:val="006D111D"/>
    <w:rsid w:val="00727158"/>
    <w:rsid w:val="00747BA4"/>
    <w:rsid w:val="007B4E51"/>
    <w:rsid w:val="007C617E"/>
    <w:rsid w:val="00802E8E"/>
    <w:rsid w:val="00803A9C"/>
    <w:rsid w:val="008A5F23"/>
    <w:rsid w:val="00952D65"/>
    <w:rsid w:val="009936E9"/>
    <w:rsid w:val="009D1482"/>
    <w:rsid w:val="009F3EC6"/>
    <w:rsid w:val="00A506B5"/>
    <w:rsid w:val="00A62C92"/>
    <w:rsid w:val="00A86B09"/>
    <w:rsid w:val="00AF6A59"/>
    <w:rsid w:val="00B53FCD"/>
    <w:rsid w:val="00B5510D"/>
    <w:rsid w:val="00B75E05"/>
    <w:rsid w:val="00B8424E"/>
    <w:rsid w:val="00B875E1"/>
    <w:rsid w:val="00BB59DB"/>
    <w:rsid w:val="00C818B6"/>
    <w:rsid w:val="00D5544B"/>
    <w:rsid w:val="00DE2979"/>
    <w:rsid w:val="00E028A6"/>
    <w:rsid w:val="00E36FDA"/>
    <w:rsid w:val="00E74172"/>
    <w:rsid w:val="00F33992"/>
    <w:rsid w:val="00F44DD9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637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546287"/>
    <w:pPr>
      <w:widowControl w:val="0"/>
      <w:spacing w:after="120"/>
      <w:ind w:left="283"/>
      <w:jc w:val="both"/>
    </w:pPr>
    <w:rPr>
      <w:rFonts w:ascii="Century" w:eastAsia="MS Mincho" w:hAnsi="Century"/>
      <w:kern w:val="2"/>
      <w:sz w:val="21"/>
      <w:lang w:eastAsia="ja-JP"/>
    </w:rPr>
  </w:style>
  <w:style w:type="character" w:customStyle="1" w:styleId="SangradetextonormalCar">
    <w:name w:val="Sangría de texto normal Car"/>
    <w:basedOn w:val="Fuentedeprrafopredeter"/>
    <w:link w:val="Sangradetextonormal"/>
    <w:rsid w:val="00546287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Sangra3detindependiente">
    <w:name w:val="Body Text Indent 3"/>
    <w:basedOn w:val="Normal"/>
    <w:link w:val="Sangra3detindependienteCar"/>
    <w:rsid w:val="00546287"/>
    <w:pPr>
      <w:widowControl w:val="0"/>
      <w:spacing w:after="120"/>
      <w:ind w:left="283"/>
      <w:jc w:val="both"/>
    </w:pPr>
    <w:rPr>
      <w:rFonts w:ascii="Century" w:eastAsia="MS Mincho" w:hAnsi="Century"/>
      <w:kern w:val="2"/>
      <w:sz w:val="16"/>
      <w:szCs w:val="16"/>
      <w:lang w:eastAsia="ja-JP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46287"/>
    <w:rPr>
      <w:rFonts w:ascii="Century" w:eastAsia="MS Mincho" w:hAnsi="Century" w:cs="Times New Roman"/>
      <w:kern w:val="2"/>
      <w:sz w:val="16"/>
      <w:szCs w:val="16"/>
      <w:lang w:eastAsia="ja-JP"/>
    </w:rPr>
  </w:style>
  <w:style w:type="paragraph" w:styleId="Sangra2detindependiente">
    <w:name w:val="Body Text Indent 2"/>
    <w:basedOn w:val="Normal"/>
    <w:link w:val="Sangra2detindependienteCar"/>
    <w:rsid w:val="00546287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462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46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4628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E78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37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70F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2C9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2C9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2C9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2C9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2C9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546287"/>
    <w:pPr>
      <w:widowControl w:val="0"/>
      <w:spacing w:after="120"/>
      <w:ind w:left="283"/>
      <w:jc w:val="both"/>
    </w:pPr>
    <w:rPr>
      <w:rFonts w:ascii="Century" w:eastAsia="MS Mincho" w:hAnsi="Century"/>
      <w:kern w:val="2"/>
      <w:sz w:val="21"/>
      <w:lang w:eastAsia="ja-JP"/>
    </w:rPr>
  </w:style>
  <w:style w:type="character" w:customStyle="1" w:styleId="SangradetextonormalCar">
    <w:name w:val="Sangría de texto normal Car"/>
    <w:basedOn w:val="Fuentedeprrafopredeter"/>
    <w:link w:val="Sangradetextonormal"/>
    <w:rsid w:val="00546287"/>
    <w:rPr>
      <w:rFonts w:ascii="Century" w:eastAsia="MS Mincho" w:hAnsi="Century" w:cs="Times New Roman"/>
      <w:kern w:val="2"/>
      <w:sz w:val="21"/>
      <w:szCs w:val="24"/>
      <w:lang w:eastAsia="ja-JP"/>
    </w:rPr>
  </w:style>
  <w:style w:type="paragraph" w:styleId="Sangra3detindependiente">
    <w:name w:val="Body Text Indent 3"/>
    <w:basedOn w:val="Normal"/>
    <w:link w:val="Sangra3detindependienteCar"/>
    <w:rsid w:val="00546287"/>
    <w:pPr>
      <w:widowControl w:val="0"/>
      <w:spacing w:after="120"/>
      <w:ind w:left="283"/>
      <w:jc w:val="both"/>
    </w:pPr>
    <w:rPr>
      <w:rFonts w:ascii="Century" w:eastAsia="MS Mincho" w:hAnsi="Century"/>
      <w:kern w:val="2"/>
      <w:sz w:val="16"/>
      <w:szCs w:val="16"/>
      <w:lang w:eastAsia="ja-JP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46287"/>
    <w:rPr>
      <w:rFonts w:ascii="Century" w:eastAsia="MS Mincho" w:hAnsi="Century" w:cs="Times New Roman"/>
      <w:kern w:val="2"/>
      <w:sz w:val="16"/>
      <w:szCs w:val="16"/>
      <w:lang w:eastAsia="ja-JP"/>
    </w:rPr>
  </w:style>
  <w:style w:type="paragraph" w:styleId="Sangra2detindependiente">
    <w:name w:val="Body Text Indent 2"/>
    <w:basedOn w:val="Normal"/>
    <w:link w:val="Sangra2detindependienteCar"/>
    <w:rsid w:val="00546287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462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462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4628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E78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37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70F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2C9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2C9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2C9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2C9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2C9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1389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Miriam Prieto</cp:lastModifiedBy>
  <cp:revision>3</cp:revision>
  <dcterms:created xsi:type="dcterms:W3CDTF">2020-03-30T13:49:00Z</dcterms:created>
  <dcterms:modified xsi:type="dcterms:W3CDTF">2020-03-30T23:52:00Z</dcterms:modified>
</cp:coreProperties>
</file>